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5544"/>
      </w:tblGrid>
      <w:tr w:rsidR="00F06519">
        <w:tc>
          <w:tcPr>
            <w:tcW w:w="4536" w:type="dxa"/>
            <w:tcBorders>
              <w:top w:val="none" w:sz="0" w:space="0" w:color="FFFFFF"/>
              <w:left w:val="none" w:sz="0" w:space="0" w:color="FFFFFF"/>
              <w:bottom w:val="none" w:sz="0" w:space="0" w:color="FFFFFF"/>
              <w:right w:val="none" w:sz="0" w:space="0" w:color="FFFFFF"/>
            </w:tcBorders>
          </w:tcPr>
          <w:p w:rsidR="00F06519" w:rsidRDefault="00966103">
            <w:r>
              <w:rPr>
                <w:rFonts w:ascii="Calibri" w:eastAsia="Calibri" w:hAnsi="Calibri" w:cs="Calibri"/>
                <w:b/>
                <w:bCs/>
                <w:color w:val="1F4E79"/>
                <w:sz w:val="22"/>
                <w:szCs w:val="22"/>
              </w:rPr>
              <w:t>FOR IMMEDIATE RELEASE</w:t>
            </w:r>
          </w:p>
        </w:tc>
        <w:tc>
          <w:tcPr>
            <w:tcW w:w="5544" w:type="dxa"/>
            <w:tcBorders>
              <w:top w:val="none" w:sz="0" w:space="0" w:color="FFFFFF"/>
              <w:left w:val="none" w:sz="0" w:space="0" w:color="FFFFFF"/>
              <w:bottom w:val="none" w:sz="0" w:space="0" w:color="FFFFFF"/>
              <w:right w:val="none" w:sz="0" w:space="0" w:color="FFFFFF"/>
            </w:tcBorders>
          </w:tcPr>
          <w:p w:rsidR="00F06519" w:rsidRDefault="00966103">
            <w:pPr>
              <w:spacing w:after="40"/>
              <w:jc w:val="right"/>
            </w:pPr>
            <w:r>
              <w:rPr>
                <w:rFonts w:ascii="Calibri" w:eastAsia="Calibri" w:hAnsi="Calibri" w:cs="Calibri"/>
                <w:b/>
                <w:bCs/>
                <w:color w:val="000000"/>
                <w:sz w:val="18"/>
                <w:szCs w:val="18"/>
              </w:rPr>
              <w:t>Media Contact:</w:t>
            </w:r>
          </w:p>
          <w:p w:rsidR="00F06519" w:rsidRDefault="00966103">
            <w:pPr>
              <w:spacing w:after="20"/>
              <w:jc w:val="right"/>
            </w:pPr>
            <w:r>
              <w:rPr>
                <w:rFonts w:ascii="Calibri" w:eastAsia="Calibri" w:hAnsi="Calibri" w:cs="Calibri"/>
                <w:b/>
                <w:bCs/>
                <w:color w:val="000000"/>
                <w:sz w:val="18"/>
                <w:szCs w:val="18"/>
              </w:rPr>
              <w:t>Sammy Park, Managing Director</w:t>
            </w:r>
          </w:p>
          <w:p w:rsidR="00F06519" w:rsidRDefault="00966103">
            <w:pPr>
              <w:spacing w:after="20"/>
              <w:jc w:val="right"/>
            </w:pPr>
            <w:r>
              <w:rPr>
                <w:rFonts w:ascii="Calibri" w:eastAsia="Calibri" w:hAnsi="Calibri" w:cs="Calibri"/>
                <w:color w:val="000000"/>
                <w:sz w:val="18"/>
                <w:szCs w:val="18"/>
              </w:rPr>
              <w:t>ConsumerInsight</w:t>
            </w:r>
          </w:p>
          <w:p w:rsidR="00F06519" w:rsidRDefault="00966103">
            <w:pPr>
              <w:spacing w:after="20"/>
              <w:jc w:val="right"/>
            </w:pPr>
            <w:r>
              <w:rPr>
                <w:rFonts w:ascii="Calibri" w:eastAsia="Calibri" w:hAnsi="Calibri" w:cs="Calibri"/>
                <w:color w:val="000000"/>
                <w:sz w:val="18"/>
                <w:szCs w:val="18"/>
              </w:rPr>
              <w:t>Email: sammy.park@consumerinsight.kr</w:t>
            </w:r>
          </w:p>
          <w:p w:rsidR="00F06519" w:rsidRDefault="00966103">
            <w:pPr>
              <w:spacing w:after="20"/>
              <w:jc w:val="right"/>
            </w:pPr>
            <w:r>
              <w:rPr>
                <w:rFonts w:ascii="Calibri" w:eastAsia="Calibri" w:hAnsi="Calibri" w:cs="Calibri"/>
                <w:color w:val="000000"/>
                <w:sz w:val="18"/>
                <w:szCs w:val="18"/>
              </w:rPr>
              <w:t>Phone: +82-2-6004-7661</w:t>
            </w:r>
          </w:p>
          <w:p w:rsidR="00F06519" w:rsidRDefault="00966103">
            <w:pPr>
              <w:spacing w:after="20"/>
              <w:jc w:val="right"/>
            </w:pPr>
            <w:r>
              <w:rPr>
                <w:rFonts w:ascii="Calibri" w:eastAsia="Calibri" w:hAnsi="Calibri" w:cs="Calibri"/>
                <w:b/>
                <w:bCs/>
                <w:color w:val="000000"/>
                <w:sz w:val="18"/>
                <w:szCs w:val="18"/>
              </w:rPr>
              <w:t>Yanghyuk Kim, Research Fellow</w:t>
            </w:r>
          </w:p>
          <w:p w:rsidR="00F06519" w:rsidRDefault="00966103">
            <w:pPr>
              <w:spacing w:after="20"/>
              <w:jc w:val="right"/>
            </w:pPr>
            <w:r>
              <w:rPr>
                <w:rFonts w:ascii="Calibri" w:eastAsia="Calibri" w:hAnsi="Calibri" w:cs="Calibri"/>
                <w:color w:val="000000"/>
                <w:sz w:val="18"/>
                <w:szCs w:val="18"/>
              </w:rPr>
              <w:t>ConsumerInsight</w:t>
            </w:r>
          </w:p>
          <w:p w:rsidR="00F06519" w:rsidRDefault="00966103">
            <w:pPr>
              <w:spacing w:after="20"/>
              <w:jc w:val="right"/>
            </w:pPr>
            <w:r>
              <w:rPr>
                <w:rFonts w:ascii="Calibri" w:eastAsia="Calibri" w:hAnsi="Calibri" w:cs="Calibri"/>
                <w:color w:val="000000"/>
                <w:sz w:val="18"/>
                <w:szCs w:val="18"/>
              </w:rPr>
              <w:t>Email: kimyh@consumerinsight.kr</w:t>
            </w:r>
          </w:p>
          <w:p w:rsidR="00F06519" w:rsidRDefault="00966103">
            <w:pPr>
              <w:jc w:val="right"/>
            </w:pPr>
            <w:r>
              <w:rPr>
                <w:rFonts w:ascii="Calibri" w:eastAsia="Calibri" w:hAnsi="Calibri" w:cs="Calibri"/>
                <w:color w:val="000000"/>
                <w:sz w:val="18"/>
                <w:szCs w:val="18"/>
              </w:rPr>
              <w:t>Phone: +82-2-6004-7604</w:t>
            </w:r>
          </w:p>
        </w:tc>
      </w:tr>
    </w:tbl>
    <w:p w:rsidR="00F06519" w:rsidRDefault="00F06519">
      <w:pPr>
        <w:pBdr>
          <w:bottom w:val="single" w:sz="6" w:space="4" w:color="BFBFBF"/>
        </w:pBdr>
        <w:spacing w:after="300"/>
      </w:pPr>
    </w:p>
    <w:p w:rsidR="00F06519" w:rsidRDefault="00966103">
      <w:pPr>
        <w:spacing w:after="80"/>
      </w:pPr>
      <w:r>
        <w:rPr>
          <w:rFonts w:ascii="Calibri" w:eastAsia="Calibri" w:hAnsi="Calibri" w:cs="Calibri"/>
          <w:b/>
          <w:bCs/>
          <w:color w:val="1F4E79"/>
          <w:sz w:val="34"/>
          <w:szCs w:val="34"/>
        </w:rPr>
        <w:t>EV Purchase Realization Rate Ties Gasoline at 71%, Unfazed by Cheongna Fire, ConsumerInsight Finds</w:t>
      </w:r>
    </w:p>
    <w:p w:rsidR="00F06519" w:rsidRDefault="00966103">
      <w:pPr>
        <w:spacing w:after="200"/>
      </w:pPr>
      <w:r>
        <w:rPr>
          <w:rFonts w:ascii="Calibri" w:eastAsia="Calibri" w:hAnsi="Calibri" w:cs="Calibri"/>
          <w:b/>
          <w:bCs/>
          <w:color w:val="1F4E79"/>
          <w:sz w:val="22"/>
          <w:szCs w:val="22"/>
        </w:rPr>
        <w:t>EVs matched gasoline as the fuel type consumers were most likely to follow through on, even as the Cheongna apartment fire and broader EV 'chasm' concerns dominated headlines, the latest 'Say-Do Gap' analysis shows.</w:t>
      </w:r>
    </w:p>
    <w:p w:rsidR="00F06519" w:rsidRDefault="00966103">
      <w:pPr>
        <w:spacing w:after="260"/>
      </w:pPr>
      <w:r>
        <w:rPr>
          <w:rFonts w:ascii="Calibri" w:eastAsia="Calibri" w:hAnsi="Calibri" w:cs="Calibri"/>
          <w:b/>
          <w:bCs/>
          <w:i/>
          <w:iCs/>
          <w:color w:val="595959"/>
          <w:sz w:val="28"/>
          <w:szCs w:val="28"/>
        </w:rPr>
        <w:t xml:space="preserve">The Say-Do Gap Series </w:t>
      </w:r>
      <w:r w:rsidR="00BF591B" w:rsidRPr="00BF591B">
        <w:rPr>
          <w:rFonts w:ascii="맑은 고딕" w:eastAsia="맑은 고딕" w:hAnsi="맑은 고딕" w:cs="맑은 고딕" w:hint="eastAsia"/>
          <w:b/>
          <w:bCs/>
          <w:i/>
          <w:iCs/>
          <w:color w:val="595959"/>
          <w:sz w:val="28"/>
          <w:szCs w:val="28"/>
        </w:rPr>
        <w:t>Ⅴ</w:t>
      </w:r>
      <w:r>
        <w:rPr>
          <w:rFonts w:ascii="Calibri" w:eastAsia="Calibri" w:hAnsi="Calibri" w:cs="Calibri"/>
          <w:b/>
          <w:bCs/>
          <w:i/>
          <w:iCs/>
          <w:color w:val="595959"/>
          <w:sz w:val="28"/>
          <w:szCs w:val="28"/>
        </w:rPr>
        <w:t>: Automobile Purchase Realization by Fuel Type within One Year</w:t>
      </w:r>
    </w:p>
    <w:tbl>
      <w:tblPr>
        <w:tblW w:w="10080" w:type="dxa"/>
        <w:tblBorders>
          <w:top w:val="single" w:sz="4" w:space="0" w:color="EEF3F8"/>
          <w:left w:val="single" w:sz="24" w:space="0" w:color="1F4E79"/>
          <w:bottom w:val="single" w:sz="4" w:space="0" w:color="EEF3F8"/>
          <w:right w:val="single" w:sz="4" w:space="0" w:color="EEF3F8"/>
        </w:tblBorders>
        <w:tblCellMar>
          <w:left w:w="10" w:type="dxa"/>
          <w:right w:w="10" w:type="dxa"/>
        </w:tblCellMar>
        <w:tblLook w:val="0000" w:firstRow="0" w:lastRow="0" w:firstColumn="0" w:lastColumn="0" w:noHBand="0" w:noVBand="0"/>
      </w:tblPr>
      <w:tblGrid>
        <w:gridCol w:w="10080"/>
      </w:tblGrid>
      <w:tr w:rsidR="00F06519">
        <w:tc>
          <w:tcPr>
            <w:tcW w:w="10080" w:type="dxa"/>
            <w:shd w:val="clear" w:color="auto" w:fill="EEF3F8"/>
            <w:tcMar>
              <w:top w:w="160" w:type="dxa"/>
              <w:left w:w="200" w:type="dxa"/>
              <w:bottom w:w="160" w:type="dxa"/>
              <w:right w:w="200" w:type="dxa"/>
            </w:tcMar>
          </w:tcPr>
          <w:p w:rsidR="00F06519" w:rsidRDefault="00966103">
            <w:pPr>
              <w:pStyle w:val="a4"/>
              <w:numPr>
                <w:ilvl w:val="0"/>
                <w:numId w:val="2"/>
              </w:numPr>
              <w:spacing w:after="90"/>
            </w:pPr>
            <w:r>
              <w:rPr>
                <w:rFonts w:ascii="Calibri" w:eastAsia="Calibri" w:hAnsi="Calibri" w:cs="Calibri"/>
                <w:color w:val="000000"/>
                <w:sz w:val="21"/>
                <w:szCs w:val="21"/>
              </w:rPr>
              <w:t>EV and gasoline tied for the highest purchase realization rate in 2025, at 71% each; hybrid trailed at 63%.</w:t>
            </w:r>
          </w:p>
          <w:p w:rsidR="00F06519" w:rsidRDefault="00966103">
            <w:pPr>
              <w:pStyle w:val="a4"/>
              <w:numPr>
                <w:ilvl w:val="0"/>
                <w:numId w:val="2"/>
              </w:numPr>
              <w:spacing w:after="90"/>
            </w:pPr>
            <w:r>
              <w:rPr>
                <w:rFonts w:ascii="Calibri" w:eastAsia="Calibri" w:hAnsi="Calibri" w:cs="Calibri"/>
                <w:color w:val="000000"/>
                <w:sz w:val="21"/>
                <w:szCs w:val="21"/>
              </w:rPr>
              <w:t>The Incheon Cheongna EV fire (August 2024) had no negative effect on EV intenders' follow-through; the EV realization rate instead rose 5 percentage points year-on-year.</w:t>
            </w:r>
          </w:p>
          <w:p w:rsidR="00F06519" w:rsidRDefault="00966103">
            <w:pPr>
              <w:pStyle w:val="a4"/>
              <w:numPr>
                <w:ilvl w:val="0"/>
                <w:numId w:val="2"/>
              </w:numPr>
              <w:spacing w:after="90"/>
            </w:pPr>
            <w:r>
              <w:rPr>
                <w:rFonts w:ascii="Calibri" w:eastAsia="Calibri" w:hAnsi="Calibri" w:cs="Calibri"/>
                <w:color w:val="000000"/>
                <w:sz w:val="21"/>
                <w:szCs w:val="21"/>
              </w:rPr>
              <w:t>Non-EV intenders swung sharply away from EVs after the fire: only 5-8% switched to an EV, while 19-41% moved to gasoline or hybrid instead.</w:t>
            </w:r>
          </w:p>
          <w:p w:rsidR="00F06519" w:rsidRDefault="00966103">
            <w:pPr>
              <w:pStyle w:val="a4"/>
              <w:numPr>
                <w:ilvl w:val="0"/>
                <w:numId w:val="2"/>
              </w:numPr>
              <w:spacing w:after="90"/>
            </w:pPr>
            <w:r>
              <w:rPr>
                <w:rFonts w:ascii="Calibri" w:eastAsia="Calibri" w:hAnsi="Calibri" w:cs="Calibri"/>
                <w:color w:val="000000"/>
                <w:sz w:val="21"/>
                <w:szCs w:val="21"/>
              </w:rPr>
              <w:t>EV purchase intention has decoupled from realization: intention held at 11% for two straight years even as realization climbed to 71%.</w:t>
            </w:r>
          </w:p>
          <w:p w:rsidR="00F06519" w:rsidRDefault="00966103">
            <w:pPr>
              <w:pStyle w:val="a4"/>
              <w:numPr>
                <w:ilvl w:val="0"/>
                <w:numId w:val="2"/>
              </w:numPr>
              <w:spacing w:after="90"/>
            </w:pPr>
            <w:r>
              <w:rPr>
                <w:rFonts w:ascii="Calibri" w:eastAsia="Calibri" w:hAnsi="Calibri" w:cs="Calibri"/>
                <w:color w:val="000000"/>
                <w:sz w:val="21"/>
                <w:szCs w:val="21"/>
              </w:rPr>
              <w:t>Plug-in hybrid and diesel intenders posted realization rates of just 7% and 33%, respectively, the lowest of any fuel type.</w:t>
            </w:r>
          </w:p>
        </w:tc>
      </w:tr>
    </w:tbl>
    <w:p w:rsidR="00F06519" w:rsidRDefault="00F06519">
      <w:pPr>
        <w:spacing w:after="160"/>
      </w:pPr>
    </w:p>
    <w:p w:rsidR="00F06519" w:rsidRDefault="00966103">
      <w:pPr>
        <w:spacing w:after="160"/>
      </w:pPr>
      <w:r>
        <w:rPr>
          <w:rFonts w:ascii="Calibri" w:eastAsia="Calibri" w:hAnsi="Calibri" w:cs="Calibri"/>
          <w:b/>
          <w:bCs/>
          <w:color w:val="000000"/>
          <w:sz w:val="21"/>
          <w:szCs w:val="21"/>
        </w:rPr>
        <w:t xml:space="preserve">SEOUL, South Korea — June 12, 2026 — </w:t>
      </w:r>
      <w:r>
        <w:rPr>
          <w:rFonts w:ascii="Calibri" w:eastAsia="Calibri" w:hAnsi="Calibri" w:cs="Calibri"/>
          <w:color w:val="000000"/>
          <w:sz w:val="21"/>
          <w:szCs w:val="21"/>
        </w:rPr>
        <w:t>ConsumerInsight today released the fifth and final report in its 'The Say-Do Gap' series, examining automobile purchase realization rates by fuel type. Among consumers who planned a car purchase in the 2024 survey, the share who completed that purchase within their originally intended fuel type within one year — the realization rate — was highest for electric vehicles (EV) and gasoline, both at 71%, followed by hybrid (HEV) at 63%. Plug-in hybrid (PHEV) and diesel intenders posted realization rates of just 7% and 33%, respectively.</w:t>
      </w:r>
    </w:p>
    <w:p w:rsidR="00F06519" w:rsidRDefault="00966103">
      <w:pPr>
        <w:spacing w:after="160"/>
      </w:pPr>
      <w:r>
        <w:rPr>
          <w:rFonts w:ascii="Calibri" w:eastAsia="Calibri" w:hAnsi="Calibri" w:cs="Calibri"/>
          <w:color w:val="000000"/>
          <w:sz w:val="21"/>
          <w:szCs w:val="21"/>
        </w:rPr>
        <w:t>This analysis is based on 1,127 respondents — drawn from 31,852 continuous participants in ConsumerInsight's 2024-2025 Annual Automobile Syndicated Study — who stated in 2024 that they planned to buy a new car within one year and completed that purchase. Realization rates were compared by fuel type: EV, gasoline, hybrid, plug-in hybrid and diesel. LPG and hydrogen (FCEV) intenders were excluded due to insufficient sample size.</w:t>
      </w:r>
    </w:p>
    <w:p w:rsidR="00F06519" w:rsidRDefault="00966103">
      <w:pPr>
        <w:pBdr>
          <w:bottom w:val="single" w:sz="4" w:space="4" w:color="1F4E79"/>
        </w:pBdr>
        <w:spacing w:before="300" w:after="160"/>
      </w:pPr>
      <w:r>
        <w:rPr>
          <w:rFonts w:ascii="Calibri" w:eastAsia="Calibri" w:hAnsi="Calibri" w:cs="Calibri"/>
          <w:b/>
          <w:bCs/>
          <w:color w:val="1F4E79"/>
          <w:sz w:val="26"/>
          <w:szCs w:val="26"/>
        </w:rPr>
        <w:t>EV Realization Rate Catches Up to Hybrid, Ties Gasoline</w:t>
      </w:r>
    </w:p>
    <w:p w:rsidR="00F06519" w:rsidRDefault="00966103">
      <w:pPr>
        <w:spacing w:after="160"/>
      </w:pPr>
      <w:r>
        <w:rPr>
          <w:rFonts w:ascii="Calibri" w:eastAsia="Calibri" w:hAnsi="Calibri" w:cs="Calibri"/>
          <w:color w:val="000000"/>
          <w:sz w:val="21"/>
          <w:szCs w:val="21"/>
        </w:rPr>
        <w:t>Among 2024 survey respondents who planned a car purchase, the share who followed through with their intended fuel type within one year — the realization rate — was highest for EV and gasoline, both at 71%, followed by hybrid at 63% [Table 1]. The EV realization rate ran 8 percentage points ahead of hybrid, the current mainstream fuel type, and matched gasoline, the perennial leader.</w:t>
      </w:r>
    </w:p>
    <w:p w:rsidR="00F06519" w:rsidRDefault="00966103">
      <w:pPr>
        <w:spacing w:before="120" w:after="80"/>
      </w:pPr>
      <w:r>
        <w:rPr>
          <w:rFonts w:ascii="Calibri" w:eastAsia="Calibri" w:hAnsi="Calibri" w:cs="Calibri"/>
          <w:b/>
          <w:bCs/>
          <w:color w:val="000000"/>
          <w:sz w:val="21"/>
          <w:szCs w:val="21"/>
        </w:rPr>
        <w:lastRenderedPageBreak/>
        <w:t>[Table 1] 2025 Purchase Realization Rate of 2024 Fuel-Type Intenders</w:t>
      </w:r>
      <w:r>
        <w:rPr>
          <w:rFonts w:ascii="Calibri" w:eastAsia="Calibri" w:hAnsi="Calibri" w:cs="Calibri"/>
          <w:i/>
          <w:iCs/>
          <w:color w:val="595959"/>
          <w:sz w:val="19"/>
          <w:szCs w:val="19"/>
        </w:rPr>
        <w:t xml:space="preserve">  Unit: %. Columns show the fuel type intended in 2024; rows show the fuel type actually purchased in 2025.</w:t>
      </w:r>
    </w:p>
    <w:tbl>
      <w:tblPr>
        <w:tblW w:w="10080" w:type="dxa"/>
        <w:tblBorders>
          <w:top w:val="single" w:sz="8" w:space="0" w:color="000000"/>
          <w:left w:val="none" w:sz="0" w:space="0" w:color="FFFFFF"/>
          <w:bottom w:val="single" w:sz="8" w:space="0" w:color="000000"/>
          <w:right w:val="none" w:sz="0" w:space="0" w:color="FFFFFF"/>
          <w:insideH w:val="single" w:sz="4" w:space="0" w:color="auto"/>
          <w:insideV w:val="none" w:sz="0" w:space="0" w:color="FFFFFF"/>
        </w:tblBorders>
        <w:tblCellMar>
          <w:left w:w="10" w:type="dxa"/>
          <w:right w:w="10" w:type="dxa"/>
        </w:tblCellMar>
        <w:tblLook w:val="0000" w:firstRow="0" w:lastRow="0" w:firstColumn="0" w:lastColumn="0" w:noHBand="0" w:noVBand="0"/>
      </w:tblPr>
      <w:tblGrid>
        <w:gridCol w:w="1440"/>
        <w:gridCol w:w="1080"/>
        <w:gridCol w:w="1260"/>
        <w:gridCol w:w="1260"/>
        <w:gridCol w:w="1260"/>
        <w:gridCol w:w="1260"/>
        <w:gridCol w:w="1260"/>
        <w:gridCol w:w="1260"/>
      </w:tblGrid>
      <w:tr w:rsidR="00F06519">
        <w:tc>
          <w:tcPr>
            <w:tcW w:w="1440" w:type="dxa"/>
            <w:vMerge w:val="restart"/>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Category</w:t>
            </w:r>
          </w:p>
        </w:tc>
        <w:tc>
          <w:tcPr>
            <w:tcW w:w="8640" w:type="dxa"/>
            <w:gridSpan w:val="7"/>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Intended Fuel Type ('24)</w:t>
            </w:r>
          </w:p>
        </w:tc>
      </w:tr>
      <w:tr w:rsidR="00F06519">
        <w:tc>
          <w:tcPr>
            <w:tcW w:w="1440" w:type="dxa"/>
            <w:vMerge/>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F06519"/>
        </w:tc>
        <w:tc>
          <w:tcPr>
            <w:tcW w:w="108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Total</w:t>
            </w:r>
          </w:p>
          <w:p w:rsidR="00F06519" w:rsidRDefault="00966103">
            <w:pPr>
              <w:jc w:val="center"/>
            </w:pPr>
            <w:r>
              <w:rPr>
                <w:rFonts w:ascii="Calibri" w:eastAsia="Calibri" w:hAnsi="Calibri" w:cs="Calibri"/>
                <w:color w:val="595959"/>
                <w:sz w:val="17"/>
                <w:szCs w:val="17"/>
              </w:rPr>
              <w:t>(1,127)</w:t>
            </w:r>
          </w:p>
        </w:tc>
        <w:tc>
          <w:tcPr>
            <w:tcW w:w="126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EV</w:t>
            </w:r>
          </w:p>
          <w:p w:rsidR="00F06519" w:rsidRDefault="00966103">
            <w:pPr>
              <w:jc w:val="center"/>
            </w:pPr>
            <w:r>
              <w:rPr>
                <w:rFonts w:ascii="Calibri" w:eastAsia="Calibri" w:hAnsi="Calibri" w:cs="Calibri"/>
                <w:color w:val="595959"/>
                <w:sz w:val="17"/>
                <w:szCs w:val="17"/>
              </w:rPr>
              <w:t>(119)</w:t>
            </w:r>
          </w:p>
        </w:tc>
        <w:tc>
          <w:tcPr>
            <w:tcW w:w="126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Gasoline</w:t>
            </w:r>
          </w:p>
          <w:p w:rsidR="00F06519" w:rsidRDefault="00966103">
            <w:pPr>
              <w:jc w:val="center"/>
            </w:pPr>
            <w:r>
              <w:rPr>
                <w:rFonts w:ascii="Calibri" w:eastAsia="Calibri" w:hAnsi="Calibri" w:cs="Calibri"/>
                <w:color w:val="595959"/>
                <w:sz w:val="17"/>
                <w:szCs w:val="17"/>
              </w:rPr>
              <w:t>(401)</w:t>
            </w:r>
          </w:p>
        </w:tc>
        <w:tc>
          <w:tcPr>
            <w:tcW w:w="126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Hybrid</w:t>
            </w:r>
          </w:p>
          <w:p w:rsidR="00F06519" w:rsidRDefault="00966103">
            <w:pPr>
              <w:jc w:val="center"/>
            </w:pPr>
            <w:r>
              <w:rPr>
                <w:rFonts w:ascii="Calibri" w:eastAsia="Calibri" w:hAnsi="Calibri" w:cs="Calibri"/>
                <w:color w:val="595959"/>
                <w:sz w:val="17"/>
                <w:szCs w:val="17"/>
              </w:rPr>
              <w:t>(352)</w:t>
            </w:r>
          </w:p>
        </w:tc>
        <w:tc>
          <w:tcPr>
            <w:tcW w:w="126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Plug-in Hybrid</w:t>
            </w:r>
          </w:p>
          <w:p w:rsidR="00F06519" w:rsidRDefault="00966103">
            <w:pPr>
              <w:jc w:val="center"/>
            </w:pPr>
            <w:r>
              <w:rPr>
                <w:rFonts w:ascii="Calibri" w:eastAsia="Calibri" w:hAnsi="Calibri" w:cs="Calibri"/>
                <w:color w:val="595959"/>
                <w:sz w:val="17"/>
                <w:szCs w:val="17"/>
              </w:rPr>
              <w:t>(152)</w:t>
            </w:r>
          </w:p>
        </w:tc>
        <w:tc>
          <w:tcPr>
            <w:tcW w:w="126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Diesel</w:t>
            </w:r>
          </w:p>
          <w:p w:rsidR="00F06519" w:rsidRDefault="00966103">
            <w:pPr>
              <w:jc w:val="center"/>
            </w:pPr>
            <w:r>
              <w:rPr>
                <w:rFonts w:ascii="Calibri" w:eastAsia="Calibri" w:hAnsi="Calibri" w:cs="Calibri"/>
                <w:color w:val="595959"/>
                <w:sz w:val="17"/>
                <w:szCs w:val="17"/>
              </w:rPr>
              <w:t>(66)</w:t>
            </w:r>
          </w:p>
        </w:tc>
        <w:tc>
          <w:tcPr>
            <w:tcW w:w="1260" w:type="dxa"/>
            <w:tcBorders>
              <w:top w:val="single" w:sz="4" w:space="0" w:color="auto"/>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spacing w:after="20"/>
              <w:jc w:val="center"/>
            </w:pPr>
            <w:r>
              <w:rPr>
                <w:rFonts w:ascii="Calibri" w:eastAsia="Calibri" w:hAnsi="Calibri" w:cs="Calibri"/>
                <w:b/>
                <w:bCs/>
                <w:color w:val="000000"/>
                <w:sz w:val="19"/>
                <w:szCs w:val="19"/>
              </w:rPr>
              <w:t>Other</w:t>
            </w:r>
          </w:p>
          <w:p w:rsidR="00F06519" w:rsidRDefault="00966103">
            <w:pPr>
              <w:jc w:val="center"/>
            </w:pPr>
            <w:r>
              <w:rPr>
                <w:rFonts w:ascii="Calibri" w:eastAsia="Calibri" w:hAnsi="Calibri" w:cs="Calibri"/>
                <w:color w:val="595959"/>
                <w:sz w:val="17"/>
                <w:szCs w:val="17"/>
              </w:rPr>
              <w:t>(37)</w:t>
            </w:r>
          </w:p>
        </w:tc>
      </w:tr>
      <w:tr w:rsidR="00F06519">
        <w:tc>
          <w:tcPr>
            <w:tcW w:w="10080" w:type="dxa"/>
            <w:gridSpan w:val="8"/>
            <w:shd w:val="clear" w:color="auto" w:fill="F2F6FB"/>
            <w:tcMar>
              <w:top w:w="80" w:type="dxa"/>
              <w:left w:w="120" w:type="dxa"/>
              <w:bottom w:w="80" w:type="dxa"/>
              <w:right w:w="120" w:type="dxa"/>
            </w:tcMar>
            <w:vAlign w:val="center"/>
          </w:tcPr>
          <w:p w:rsidR="00F06519" w:rsidRDefault="00966103">
            <w:r>
              <w:rPr>
                <w:rFonts w:ascii="Calibri" w:eastAsia="Calibri" w:hAnsi="Calibri" w:cs="Calibri"/>
                <w:b/>
                <w:bCs/>
                <w:color w:val="000000"/>
                <w:sz w:val="19"/>
                <w:szCs w:val="19"/>
              </w:rPr>
              <w:t>Actual Fuel Type ('25)</w:t>
            </w:r>
          </w:p>
        </w:tc>
      </w:tr>
      <w:tr w:rsidR="00F06519">
        <w:tc>
          <w:tcPr>
            <w:tcW w:w="144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EV</w:t>
            </w:r>
          </w:p>
        </w:tc>
        <w:tc>
          <w:tcPr>
            <w:tcW w:w="1080" w:type="dxa"/>
            <w:tcMar>
              <w:top w:w="80" w:type="dxa"/>
              <w:left w:w="120" w:type="dxa"/>
              <w:bottom w:w="80" w:type="dxa"/>
              <w:right w:w="120" w:type="dxa"/>
            </w:tcMar>
            <w:vAlign w:val="center"/>
          </w:tcPr>
          <w:p w:rsidR="00F06519" w:rsidRPr="005B119F" w:rsidRDefault="00966103">
            <w:pPr>
              <w:jc w:val="center"/>
              <w:rPr>
                <w:b/>
              </w:rPr>
            </w:pPr>
            <w:r w:rsidRPr="005B119F">
              <w:rPr>
                <w:rFonts w:ascii="Calibri" w:eastAsia="Calibri" w:hAnsi="Calibri" w:cs="Calibri"/>
                <w:b/>
                <w:color w:val="000000"/>
                <w:sz w:val="19"/>
                <w:szCs w:val="19"/>
              </w:rPr>
              <w:t>13</w:t>
            </w:r>
          </w:p>
        </w:tc>
        <w:tc>
          <w:tcPr>
            <w:tcW w:w="1260" w:type="dxa"/>
            <w:tcMar>
              <w:top w:w="80" w:type="dxa"/>
              <w:left w:w="120" w:type="dxa"/>
              <w:bottom w:w="80" w:type="dxa"/>
              <w:right w:w="120" w:type="dxa"/>
            </w:tcMar>
            <w:vAlign w:val="center"/>
          </w:tcPr>
          <w:p w:rsidR="00F06519" w:rsidRPr="005B119F" w:rsidRDefault="00966103">
            <w:pPr>
              <w:jc w:val="center"/>
              <w:rPr>
                <w:b/>
                <w:sz w:val="22"/>
                <w:szCs w:val="22"/>
              </w:rPr>
            </w:pPr>
            <w:r w:rsidRPr="005B119F">
              <w:rPr>
                <w:rFonts w:ascii="Calibri" w:eastAsia="Calibri" w:hAnsi="Calibri" w:cs="Calibri"/>
                <w:b/>
                <w:color w:val="000000"/>
                <w:sz w:val="22"/>
                <w:szCs w:val="22"/>
              </w:rPr>
              <w:t>71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5</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7</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8</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8</w:t>
            </w:r>
          </w:p>
        </w:tc>
      </w:tr>
      <w:tr w:rsidR="00F06519">
        <w:tc>
          <w:tcPr>
            <w:tcW w:w="144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Gasoline</w:t>
            </w:r>
          </w:p>
        </w:tc>
        <w:tc>
          <w:tcPr>
            <w:tcW w:w="1080" w:type="dxa"/>
            <w:tcMar>
              <w:top w:w="80" w:type="dxa"/>
              <w:left w:w="120" w:type="dxa"/>
              <w:bottom w:w="80" w:type="dxa"/>
              <w:right w:w="120" w:type="dxa"/>
            </w:tcMar>
            <w:vAlign w:val="center"/>
          </w:tcPr>
          <w:p w:rsidR="00F06519" w:rsidRPr="005B119F" w:rsidRDefault="00966103">
            <w:pPr>
              <w:jc w:val="center"/>
              <w:rPr>
                <w:b/>
              </w:rPr>
            </w:pPr>
            <w:r w:rsidRPr="005B119F">
              <w:rPr>
                <w:rFonts w:ascii="Calibri" w:eastAsia="Calibri" w:hAnsi="Calibri" w:cs="Calibri"/>
                <w:b/>
                <w:color w:val="000000"/>
                <w:sz w:val="19"/>
                <w:szCs w:val="19"/>
              </w:rPr>
              <w:t>44</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14</w:t>
            </w:r>
          </w:p>
        </w:tc>
        <w:tc>
          <w:tcPr>
            <w:tcW w:w="1260" w:type="dxa"/>
            <w:tcMar>
              <w:top w:w="80" w:type="dxa"/>
              <w:left w:w="120" w:type="dxa"/>
              <w:bottom w:w="80" w:type="dxa"/>
              <w:right w:w="120" w:type="dxa"/>
            </w:tcMar>
            <w:vAlign w:val="center"/>
          </w:tcPr>
          <w:p w:rsidR="00F06519" w:rsidRDefault="00966103">
            <w:pPr>
              <w:jc w:val="center"/>
            </w:pPr>
            <w:r w:rsidRPr="005B119F">
              <w:rPr>
                <w:rFonts w:ascii="Calibri" w:eastAsia="Calibri" w:hAnsi="Calibri" w:cs="Calibri"/>
                <w:b/>
                <w:color w:val="000000"/>
                <w:sz w:val="22"/>
                <w:szCs w:val="22"/>
              </w:rPr>
              <w:t>71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28</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36</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38</w:t>
            </w:r>
          </w:p>
        </w:tc>
      </w:tr>
      <w:tr w:rsidR="00F06519">
        <w:tc>
          <w:tcPr>
            <w:tcW w:w="144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Hybrid</w:t>
            </w:r>
          </w:p>
        </w:tc>
        <w:tc>
          <w:tcPr>
            <w:tcW w:w="1080" w:type="dxa"/>
            <w:tcMar>
              <w:top w:w="80" w:type="dxa"/>
              <w:left w:w="120" w:type="dxa"/>
              <w:bottom w:w="80" w:type="dxa"/>
              <w:right w:w="120" w:type="dxa"/>
            </w:tcMar>
            <w:vAlign w:val="center"/>
          </w:tcPr>
          <w:p w:rsidR="00F06519" w:rsidRPr="005B119F" w:rsidRDefault="00966103">
            <w:pPr>
              <w:jc w:val="center"/>
              <w:rPr>
                <w:b/>
              </w:rPr>
            </w:pPr>
            <w:r w:rsidRPr="005B119F">
              <w:rPr>
                <w:rFonts w:ascii="Calibri" w:eastAsia="Calibri" w:hAnsi="Calibri" w:cs="Calibri"/>
                <w:b/>
                <w:color w:val="000000"/>
                <w:sz w:val="19"/>
                <w:szCs w:val="19"/>
              </w:rPr>
              <w:t>35</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19</w:t>
            </w:r>
          </w:p>
        </w:tc>
        <w:tc>
          <w:tcPr>
            <w:tcW w:w="1260" w:type="dxa"/>
            <w:tcMar>
              <w:top w:w="80" w:type="dxa"/>
              <w:left w:w="120" w:type="dxa"/>
              <w:bottom w:w="80" w:type="dxa"/>
              <w:right w:w="120" w:type="dxa"/>
            </w:tcMar>
            <w:vAlign w:val="center"/>
          </w:tcPr>
          <w:p w:rsidR="00F06519" w:rsidRDefault="00966103">
            <w:pPr>
              <w:jc w:val="center"/>
            </w:pPr>
            <w:r w:rsidRPr="005B119F">
              <w:rPr>
                <w:rFonts w:ascii="Calibri" w:eastAsia="Calibri" w:hAnsi="Calibri" w:cs="Calibri"/>
                <w:b/>
                <w:color w:val="000000"/>
                <w:sz w:val="22"/>
                <w:szCs w:val="22"/>
              </w:rPr>
              <w:t>63</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39</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27</w:t>
            </w:r>
          </w:p>
        </w:tc>
      </w:tr>
      <w:tr w:rsidR="00F06519">
        <w:tc>
          <w:tcPr>
            <w:tcW w:w="144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Plug-in Hybrid</w:t>
            </w:r>
          </w:p>
        </w:tc>
        <w:tc>
          <w:tcPr>
            <w:tcW w:w="1080" w:type="dxa"/>
            <w:tcMar>
              <w:top w:w="80" w:type="dxa"/>
              <w:left w:w="120" w:type="dxa"/>
              <w:bottom w:w="80" w:type="dxa"/>
              <w:right w:w="120" w:type="dxa"/>
            </w:tcMar>
            <w:vAlign w:val="center"/>
          </w:tcPr>
          <w:p w:rsidR="00F06519" w:rsidRPr="005B119F" w:rsidRDefault="00966103">
            <w:pPr>
              <w:jc w:val="center"/>
              <w:rPr>
                <w:b/>
              </w:rPr>
            </w:pPr>
            <w:r w:rsidRPr="005B119F">
              <w:rPr>
                <w:rFonts w:ascii="Calibri" w:eastAsia="Calibri" w:hAnsi="Calibri" w:cs="Calibri"/>
                <w:b/>
                <w:color w:val="000000"/>
                <w:sz w:val="19"/>
                <w:szCs w:val="19"/>
              </w:rPr>
              <w:t>2</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w:t>
            </w:r>
          </w:p>
        </w:tc>
        <w:tc>
          <w:tcPr>
            <w:tcW w:w="1260" w:type="dxa"/>
            <w:tcMar>
              <w:top w:w="80" w:type="dxa"/>
              <w:left w:w="120" w:type="dxa"/>
              <w:bottom w:w="80" w:type="dxa"/>
              <w:right w:w="120" w:type="dxa"/>
            </w:tcMar>
            <w:vAlign w:val="center"/>
          </w:tcPr>
          <w:p w:rsidR="00F06519" w:rsidRDefault="00966103">
            <w:pPr>
              <w:jc w:val="center"/>
            </w:pPr>
            <w:r w:rsidRPr="005B119F">
              <w:rPr>
                <w:rFonts w:ascii="Calibri" w:eastAsia="Calibri" w:hAnsi="Calibri" w:cs="Calibri"/>
                <w:b/>
                <w:color w:val="000000"/>
                <w:sz w:val="22"/>
                <w:szCs w:val="22"/>
              </w:rPr>
              <w:t>7</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r>
      <w:tr w:rsidR="00F06519">
        <w:tc>
          <w:tcPr>
            <w:tcW w:w="144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Diesel</w:t>
            </w:r>
          </w:p>
        </w:tc>
        <w:tc>
          <w:tcPr>
            <w:tcW w:w="1080" w:type="dxa"/>
            <w:tcMar>
              <w:top w:w="80" w:type="dxa"/>
              <w:left w:w="120" w:type="dxa"/>
              <w:bottom w:w="80" w:type="dxa"/>
              <w:right w:w="120" w:type="dxa"/>
            </w:tcMar>
            <w:vAlign w:val="center"/>
          </w:tcPr>
          <w:p w:rsidR="00F06519" w:rsidRPr="005B119F" w:rsidRDefault="00966103">
            <w:pPr>
              <w:jc w:val="center"/>
              <w:rPr>
                <w:b/>
              </w:rPr>
            </w:pPr>
            <w:r w:rsidRPr="005B119F">
              <w:rPr>
                <w:rFonts w:ascii="Calibri" w:eastAsia="Calibri" w:hAnsi="Calibri" w:cs="Calibri"/>
                <w:b/>
                <w:color w:val="000000"/>
                <w:sz w:val="19"/>
                <w:szCs w:val="19"/>
              </w:rPr>
              <w:t>4</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1260" w:type="dxa"/>
            <w:tcMar>
              <w:top w:w="80" w:type="dxa"/>
              <w:left w:w="120" w:type="dxa"/>
              <w:bottom w:w="80" w:type="dxa"/>
              <w:right w:w="120" w:type="dxa"/>
            </w:tcMar>
            <w:vAlign w:val="center"/>
          </w:tcPr>
          <w:p w:rsidR="00F06519" w:rsidRDefault="00966103">
            <w:pPr>
              <w:jc w:val="center"/>
            </w:pPr>
            <w:r w:rsidRPr="005B119F">
              <w:rPr>
                <w:rFonts w:ascii="Calibri" w:eastAsia="Calibri" w:hAnsi="Calibri" w:cs="Calibri"/>
                <w:b/>
                <w:color w:val="000000"/>
                <w:sz w:val="22"/>
                <w:szCs w:val="22"/>
              </w:rPr>
              <w:t>33</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5</w:t>
            </w:r>
          </w:p>
        </w:tc>
      </w:tr>
      <w:tr w:rsidR="00F06519">
        <w:tc>
          <w:tcPr>
            <w:tcW w:w="1440" w:type="dxa"/>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Other</w:t>
            </w:r>
          </w:p>
        </w:tc>
        <w:tc>
          <w:tcPr>
            <w:tcW w:w="1080" w:type="dxa"/>
            <w:tcMar>
              <w:top w:w="80" w:type="dxa"/>
              <w:left w:w="120" w:type="dxa"/>
              <w:bottom w:w="80" w:type="dxa"/>
              <w:right w:w="120" w:type="dxa"/>
            </w:tcMar>
            <w:vAlign w:val="center"/>
          </w:tcPr>
          <w:p w:rsidR="00F06519" w:rsidRPr="005B119F" w:rsidRDefault="00966103">
            <w:pPr>
              <w:jc w:val="center"/>
              <w:rPr>
                <w:b/>
              </w:rPr>
            </w:pPr>
            <w:r w:rsidRPr="005B119F">
              <w:rPr>
                <w:rFonts w:ascii="Calibri" w:eastAsia="Calibri" w:hAnsi="Calibri" w:cs="Calibri"/>
                <w:b/>
                <w:color w:val="000000"/>
                <w:sz w:val="19"/>
                <w:szCs w:val="19"/>
              </w:rPr>
              <w:t>2</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w:t>
            </w:r>
          </w:p>
        </w:tc>
        <w:tc>
          <w:tcPr>
            <w:tcW w:w="1260" w:type="dxa"/>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1260" w:type="dxa"/>
            <w:tcMar>
              <w:top w:w="80" w:type="dxa"/>
              <w:left w:w="120" w:type="dxa"/>
              <w:bottom w:w="80" w:type="dxa"/>
              <w:right w:w="120" w:type="dxa"/>
            </w:tcMar>
            <w:vAlign w:val="center"/>
          </w:tcPr>
          <w:p w:rsidR="00F06519" w:rsidRDefault="00966103">
            <w:pPr>
              <w:jc w:val="center"/>
            </w:pPr>
            <w:r w:rsidRPr="005B119F">
              <w:rPr>
                <w:rFonts w:ascii="Calibri" w:eastAsia="Calibri" w:hAnsi="Calibri" w:cs="Calibri"/>
                <w:b/>
                <w:color w:val="000000"/>
                <w:sz w:val="22"/>
                <w:szCs w:val="22"/>
              </w:rPr>
              <w:t>22</w:t>
            </w:r>
          </w:p>
        </w:tc>
      </w:tr>
    </w:tbl>
    <w:p w:rsidR="00F06519" w:rsidRDefault="00966103">
      <w:pPr>
        <w:spacing w:before="80" w:after="160"/>
      </w:pPr>
      <w:r>
        <w:rPr>
          <w:rFonts w:ascii="Calibri" w:eastAsia="Calibri" w:hAnsi="Calibri" w:cs="Calibri"/>
          <w:i/>
          <w:iCs/>
          <w:color w:val="595959"/>
          <w:sz w:val="19"/>
          <w:szCs w:val="19"/>
        </w:rPr>
        <w:t>Notes: LPG and hydrogen (FCEV) intenders were excluded due to insufficient sample size. Actual-fuel-type shares below 1.0% are shown as en dashes (–).</w:t>
      </w:r>
    </w:p>
    <w:p w:rsidR="00F06519" w:rsidRDefault="00966103">
      <w:pPr>
        <w:pBdr>
          <w:bottom w:val="single" w:sz="4" w:space="4" w:color="1F4E79"/>
        </w:pBdr>
        <w:spacing w:before="300" w:after="160"/>
      </w:pPr>
      <w:r>
        <w:rPr>
          <w:rFonts w:ascii="Calibri" w:eastAsia="Calibri" w:hAnsi="Calibri" w:cs="Calibri"/>
          <w:b/>
          <w:bCs/>
          <w:color w:val="1F4E79"/>
          <w:sz w:val="26"/>
          <w:szCs w:val="26"/>
        </w:rPr>
        <w:t>Cheongna Fire Leaves EV Realization Untouched</w:t>
      </w:r>
    </w:p>
    <w:p w:rsidR="00F06519" w:rsidRDefault="00966103">
      <w:pPr>
        <w:spacing w:after="160"/>
      </w:pPr>
      <w:r>
        <w:rPr>
          <w:rFonts w:ascii="Calibri" w:eastAsia="Calibri" w:hAnsi="Calibri" w:cs="Calibri"/>
          <w:color w:val="000000"/>
          <w:sz w:val="21"/>
          <w:szCs w:val="21"/>
        </w:rPr>
        <w:t>The finding is particularly striking set against the electric-vehicle fire that broke out in an apartment complex in Cheongna, Incheon, on August 1, 2024. The blaze erupted shortly after the 2024 survey was completed (late July 2024) and fueled a year of heightened public concern over EV safety — yet it had no measurable effect on the realization rate of existing EV intenders. If anything, the EV realization rate rose 5 percentage points from the previous year (66%), while domestic EV sales jumped more than 50% (from roughly 140,000 units in 2024 to about 215,000 in 2025, according to the Ministry of Land, Infrastructure and Transport's vehicle registration statistics) — an unexpected outcome given the circumstances.</w:t>
      </w:r>
    </w:p>
    <w:p w:rsidR="00F06519" w:rsidRDefault="00966103">
      <w:pPr>
        <w:spacing w:after="160"/>
      </w:pPr>
      <w:r>
        <w:rPr>
          <w:rFonts w:ascii="Calibri" w:eastAsia="Calibri" w:hAnsi="Calibri" w:cs="Calibri"/>
          <w:color w:val="000000"/>
          <w:sz w:val="21"/>
          <w:szCs w:val="21"/>
        </w:rPr>
        <w:t>The Cheongna incident had a far greater impact on consumers who had no interest in EVs to begin with. Just 5-8% of non-EV intenders ended up choosing an EV, while 19-41% shifted toward gasoline or hybrid vehicles instead. ConsumerInsight reads this as a clear case of confirmation bias: the fire appears to have reinforced EV intenders' resolve to buy despite the incident, while hardening non-intenders' conviction never to buy an EV at all.</w:t>
      </w:r>
    </w:p>
    <w:p w:rsidR="00F06519" w:rsidRDefault="00966103">
      <w:pPr>
        <w:spacing w:after="160"/>
      </w:pPr>
      <w:r>
        <w:rPr>
          <w:rFonts w:ascii="Calibri" w:eastAsia="Calibri" w:hAnsi="Calibri" w:cs="Calibri"/>
          <w:color w:val="000000"/>
          <w:sz w:val="21"/>
          <w:szCs w:val="21"/>
        </w:rPr>
        <w:t>Plug-in hybrid (PHEV) and diesel intenders posted realization rates of just 7% and 33%, respectively — in both cases lower than the share who ended up switching to gasoline instead (41% and 36%). The extremely low PHEV realization rate reflects a narrow model lineup, along with charging inconvenience and price burden relative to EVs. Diesel's decline reflects a broader realignment of fuel types amid tightening emissions regulations and shrinking new-model lineups.</w:t>
      </w:r>
    </w:p>
    <w:p w:rsidR="00F06519" w:rsidRDefault="00966103">
      <w:pPr>
        <w:pBdr>
          <w:bottom w:val="single" w:sz="4" w:space="4" w:color="1F4E79"/>
        </w:pBdr>
        <w:spacing w:before="300" w:after="160"/>
      </w:pPr>
      <w:r>
        <w:rPr>
          <w:rFonts w:ascii="Calibri" w:eastAsia="Calibri" w:hAnsi="Calibri" w:cs="Calibri"/>
          <w:b/>
          <w:bCs/>
          <w:color w:val="1F4E79"/>
          <w:sz w:val="26"/>
          <w:szCs w:val="26"/>
        </w:rPr>
        <w:t>Clear Decoupling Between EV Purchase Intention and Realization</w:t>
      </w:r>
    </w:p>
    <w:p w:rsidR="00F06519" w:rsidRDefault="00966103">
      <w:pPr>
        <w:spacing w:after="160"/>
        <w:rPr>
          <w:rFonts w:ascii="Calibri" w:eastAsia="Calibri" w:hAnsi="Calibri" w:cs="Calibri"/>
          <w:color w:val="000000"/>
          <w:sz w:val="21"/>
          <w:szCs w:val="21"/>
        </w:rPr>
      </w:pPr>
      <w:r>
        <w:rPr>
          <w:rFonts w:ascii="Calibri" w:eastAsia="Calibri" w:hAnsi="Calibri" w:cs="Calibri"/>
          <w:color w:val="000000"/>
          <w:sz w:val="21"/>
          <w:szCs w:val="21"/>
        </w:rPr>
        <w:t>A six-year comparison highlights distinct patterns by fuel type, most notably a decoupling between EV purchase intention and realization. EV purchase intention peaked at 16% in 2022 before declining and holding steady at 11% for two consecutive years [Table 2]. Realization rates, by contrast, rose in every year except 2023 (58%), catching up to hybrid in 2024 (66%) and matching gasoline in 2025 (71%) [Table 3]. This suggests the EV market is increasingly sustained by a committed core of genuine buyers rather than a broader base of casual interest.</w:t>
      </w:r>
    </w:p>
    <w:p w:rsidR="00696C91" w:rsidRDefault="00696C91">
      <w:pPr>
        <w:spacing w:after="160"/>
      </w:pPr>
    </w:p>
    <w:p w:rsidR="00F06519" w:rsidRDefault="00966103">
      <w:pPr>
        <w:spacing w:before="120" w:after="80"/>
      </w:pPr>
      <w:r>
        <w:rPr>
          <w:rFonts w:ascii="Calibri" w:eastAsia="Calibri" w:hAnsi="Calibri" w:cs="Calibri"/>
          <w:b/>
          <w:bCs/>
          <w:color w:val="000000"/>
          <w:sz w:val="21"/>
          <w:szCs w:val="21"/>
        </w:rPr>
        <w:lastRenderedPageBreak/>
        <w:t>[Table 2] Trend in Automobile Purchase Intention Rate by Fuel Type ('19-'24</w:t>
      </w:r>
      <w:proofErr w:type="gramStart"/>
      <w:r>
        <w:rPr>
          <w:rFonts w:ascii="Calibri" w:eastAsia="Calibri" w:hAnsi="Calibri" w:cs="Calibri"/>
          <w:b/>
          <w:bCs/>
          <w:color w:val="000000"/>
          <w:sz w:val="21"/>
          <w:szCs w:val="21"/>
        </w:rPr>
        <w:t>)</w:t>
      </w:r>
      <w:r>
        <w:rPr>
          <w:rFonts w:ascii="Calibri" w:eastAsia="Calibri" w:hAnsi="Calibri" w:cs="Calibri"/>
          <w:i/>
          <w:iCs/>
          <w:color w:val="595959"/>
          <w:sz w:val="19"/>
          <w:szCs w:val="19"/>
        </w:rPr>
        <w:t xml:space="preserve">  Unit</w:t>
      </w:r>
      <w:proofErr w:type="gramEnd"/>
      <w:r>
        <w:rPr>
          <w:rFonts w:ascii="Calibri" w:eastAsia="Calibri" w:hAnsi="Calibri" w:cs="Calibri"/>
          <w:i/>
          <w:iCs/>
          <w:color w:val="595959"/>
          <w:sz w:val="19"/>
          <w:szCs w:val="19"/>
        </w:rPr>
        <w:t>: %</w:t>
      </w:r>
    </w:p>
    <w:tbl>
      <w:tblPr>
        <w:tblW w:w="10080" w:type="dxa"/>
        <w:tblBorders>
          <w:top w:val="single" w:sz="8" w:space="0" w:color="000000"/>
          <w:left w:val="none" w:sz="0" w:space="0" w:color="FFFFFF"/>
          <w:bottom w:val="single" w:sz="8" w:space="0" w:color="000000"/>
          <w:right w:val="none" w:sz="0" w:space="0" w:color="FFFFFF"/>
          <w:insideH w:val="single" w:sz="4" w:space="0" w:color="auto"/>
          <w:insideV w:val="none" w:sz="0" w:space="0" w:color="FFFFFF"/>
        </w:tblBorders>
        <w:tblCellMar>
          <w:left w:w="10" w:type="dxa"/>
          <w:right w:w="10" w:type="dxa"/>
        </w:tblCellMar>
        <w:tblLook w:val="0000" w:firstRow="0" w:lastRow="0" w:firstColumn="0" w:lastColumn="0" w:noHBand="0" w:noVBand="0"/>
      </w:tblPr>
      <w:tblGrid>
        <w:gridCol w:w="2280"/>
        <w:gridCol w:w="1300"/>
        <w:gridCol w:w="1300"/>
        <w:gridCol w:w="1300"/>
        <w:gridCol w:w="1300"/>
        <w:gridCol w:w="1300"/>
        <w:gridCol w:w="1300"/>
      </w:tblGrid>
      <w:tr w:rsidR="00F06519">
        <w:tc>
          <w:tcPr>
            <w:tcW w:w="228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r>
              <w:rPr>
                <w:rFonts w:ascii="Calibri" w:eastAsia="Calibri" w:hAnsi="Calibri" w:cs="Calibri"/>
                <w:b/>
                <w:bCs/>
                <w:color w:val="000000"/>
                <w:sz w:val="19"/>
                <w:szCs w:val="19"/>
              </w:rPr>
              <w:t>Fuel Type</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2019</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2020</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2021</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2022</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2023</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2024</w:t>
            </w:r>
          </w:p>
        </w:tc>
      </w:tr>
      <w:tr w:rsidR="00F06519">
        <w:tc>
          <w:tcPr>
            <w:tcW w:w="228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EV</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14</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Pr="00696C91" w:rsidRDefault="00966103">
            <w:pPr>
              <w:jc w:val="center"/>
              <w:rPr>
                <w:b/>
                <w:sz w:val="22"/>
                <w:szCs w:val="22"/>
              </w:rPr>
            </w:pPr>
            <w:r w:rsidRPr="00696C91">
              <w:rPr>
                <w:rFonts w:ascii="Calibri" w:eastAsia="Calibri" w:hAnsi="Calibri" w:cs="Calibri"/>
                <w:b/>
                <w:color w:val="000000"/>
                <w:sz w:val="22"/>
                <w:szCs w:val="22"/>
              </w:rPr>
              <w:t>16</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11</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11</w:t>
            </w:r>
          </w:p>
        </w:tc>
      </w:tr>
      <w:tr w:rsidR="00F06519">
        <w:tc>
          <w:tcPr>
            <w:tcW w:w="228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Gasoline</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47</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sidRPr="00696C91">
              <w:rPr>
                <w:rFonts w:ascii="Calibri" w:eastAsia="Calibri" w:hAnsi="Calibri" w:cs="Calibri"/>
                <w:b/>
                <w:color w:val="000000"/>
                <w:sz w:val="22"/>
                <w:szCs w:val="22"/>
              </w:rPr>
              <w:t>49</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41</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39</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42</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36</w:t>
            </w:r>
          </w:p>
        </w:tc>
      </w:tr>
      <w:tr w:rsidR="00F06519">
        <w:tc>
          <w:tcPr>
            <w:tcW w:w="228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Hybrid</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14</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14</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20</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23</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25</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sidRPr="00696C91">
              <w:rPr>
                <w:rFonts w:ascii="Calibri" w:eastAsia="Calibri" w:hAnsi="Calibri" w:cs="Calibri"/>
                <w:b/>
                <w:color w:val="000000"/>
                <w:sz w:val="22"/>
                <w:szCs w:val="22"/>
              </w:rPr>
              <w:t>31</w:t>
            </w:r>
          </w:p>
        </w:tc>
      </w:tr>
      <w:tr w:rsidR="00F06519">
        <w:tc>
          <w:tcPr>
            <w:tcW w:w="228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Plug-in Hybrid</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8</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10</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12</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sidRPr="00696C91">
              <w:rPr>
                <w:rFonts w:ascii="Calibri" w:eastAsia="Calibri" w:hAnsi="Calibri" w:cs="Calibri"/>
                <w:b/>
                <w:color w:val="000000"/>
                <w:sz w:val="22"/>
                <w:szCs w:val="22"/>
              </w:rPr>
              <w:t>14</w:t>
            </w:r>
          </w:p>
        </w:tc>
      </w:tr>
    </w:tbl>
    <w:p w:rsidR="00F06519" w:rsidRDefault="00F06519">
      <w:pPr>
        <w:spacing w:after="200"/>
      </w:pPr>
    </w:p>
    <w:p w:rsidR="00F06519" w:rsidRDefault="00966103">
      <w:pPr>
        <w:spacing w:before="120" w:after="80"/>
      </w:pPr>
      <w:r>
        <w:rPr>
          <w:rFonts w:ascii="Calibri" w:eastAsia="Calibri" w:hAnsi="Calibri" w:cs="Calibri"/>
          <w:b/>
          <w:bCs/>
          <w:color w:val="000000"/>
          <w:sz w:val="21"/>
          <w:szCs w:val="21"/>
        </w:rPr>
        <w:t>[Table 3] Trend in Automobile Purchase Realization Rate by Fuel Type ('20-'25)</w:t>
      </w:r>
      <w:r>
        <w:rPr>
          <w:rFonts w:ascii="Calibri" w:eastAsia="Calibri" w:hAnsi="Calibri" w:cs="Calibri"/>
          <w:i/>
          <w:iCs/>
          <w:color w:val="595959"/>
          <w:sz w:val="19"/>
          <w:szCs w:val="19"/>
        </w:rPr>
        <w:t xml:space="preserve">  Unit: %</w:t>
      </w:r>
    </w:p>
    <w:tbl>
      <w:tblPr>
        <w:tblW w:w="10080" w:type="dxa"/>
        <w:tblBorders>
          <w:top w:val="single" w:sz="8" w:space="0" w:color="000000"/>
          <w:left w:val="none" w:sz="0" w:space="0" w:color="FFFFFF"/>
          <w:bottom w:val="single" w:sz="8" w:space="0" w:color="000000"/>
          <w:right w:val="none" w:sz="0" w:space="0" w:color="FFFFFF"/>
          <w:insideH w:val="single" w:sz="4" w:space="0" w:color="auto"/>
          <w:insideV w:val="none" w:sz="0" w:space="0" w:color="FFFFFF"/>
        </w:tblBorders>
        <w:tblCellMar>
          <w:left w:w="10" w:type="dxa"/>
          <w:right w:w="10" w:type="dxa"/>
        </w:tblCellMar>
        <w:tblLook w:val="0000" w:firstRow="0" w:lastRow="0" w:firstColumn="0" w:lastColumn="0" w:noHBand="0" w:noVBand="0"/>
      </w:tblPr>
      <w:tblGrid>
        <w:gridCol w:w="2280"/>
        <w:gridCol w:w="1300"/>
        <w:gridCol w:w="1300"/>
        <w:gridCol w:w="1300"/>
        <w:gridCol w:w="1300"/>
        <w:gridCol w:w="1300"/>
        <w:gridCol w:w="1300"/>
      </w:tblGrid>
      <w:tr w:rsidR="00F06519">
        <w:tc>
          <w:tcPr>
            <w:tcW w:w="228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r>
              <w:rPr>
                <w:rFonts w:ascii="Calibri" w:eastAsia="Calibri" w:hAnsi="Calibri" w:cs="Calibri"/>
                <w:b/>
                <w:bCs/>
                <w:color w:val="000000"/>
                <w:sz w:val="19"/>
                <w:szCs w:val="19"/>
              </w:rPr>
              <w:t>Fuel Type</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2020</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2021</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2022</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2023</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2024</w:t>
            </w:r>
          </w:p>
        </w:tc>
        <w:tc>
          <w:tcPr>
            <w:tcW w:w="1300" w:type="dxa"/>
            <w:tcBorders>
              <w:top w:val="single" w:sz="8" w:space="0" w:color="000000"/>
              <w:left w:val="none" w:sz="0" w:space="0" w:color="FFFFFF"/>
              <w:bottom w:val="single" w:sz="4" w:space="0" w:color="auto"/>
              <w:right w:val="none" w:sz="0" w:space="0" w:color="FFFFFF"/>
            </w:tcBorders>
            <w:shd w:val="clear" w:color="auto" w:fill="D9E2F0"/>
            <w:tcMar>
              <w:top w:w="80" w:type="dxa"/>
              <w:left w:w="120" w:type="dxa"/>
              <w:bottom w:w="80" w:type="dxa"/>
              <w:right w:w="120" w:type="dxa"/>
            </w:tcMar>
            <w:vAlign w:val="center"/>
          </w:tcPr>
          <w:p w:rsidR="00F06519" w:rsidRDefault="00966103">
            <w:pPr>
              <w:jc w:val="center"/>
            </w:pPr>
            <w:r>
              <w:rPr>
                <w:rFonts w:ascii="Calibri" w:eastAsia="Calibri" w:hAnsi="Calibri" w:cs="Calibri"/>
                <w:b/>
                <w:bCs/>
                <w:color w:val="000000"/>
                <w:sz w:val="19"/>
                <w:szCs w:val="19"/>
              </w:rPr>
              <w:t>2025</w:t>
            </w:r>
          </w:p>
        </w:tc>
      </w:tr>
      <w:tr w:rsidR="00F06519">
        <w:tc>
          <w:tcPr>
            <w:tcW w:w="228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EV</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40</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49</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61</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58</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66</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sidRPr="00696C91">
              <w:rPr>
                <w:rFonts w:ascii="Calibri" w:eastAsia="Calibri" w:hAnsi="Calibri" w:cs="Calibri"/>
                <w:b/>
                <w:color w:val="000000"/>
                <w:sz w:val="22"/>
                <w:szCs w:val="22"/>
              </w:rPr>
              <w:t>71</w:t>
            </w:r>
          </w:p>
        </w:tc>
      </w:tr>
      <w:tr w:rsidR="00F06519">
        <w:tc>
          <w:tcPr>
            <w:tcW w:w="228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Gasoline</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76</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79</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77</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sidRPr="00696C91">
              <w:rPr>
                <w:rFonts w:ascii="Calibri" w:eastAsia="Calibri" w:hAnsi="Calibri" w:cs="Calibri"/>
                <w:b/>
                <w:color w:val="000000"/>
                <w:sz w:val="22"/>
                <w:szCs w:val="22"/>
              </w:rPr>
              <w:t>81</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74</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71</w:t>
            </w:r>
          </w:p>
        </w:tc>
      </w:tr>
      <w:tr w:rsidR="00F06519">
        <w:tc>
          <w:tcPr>
            <w:tcW w:w="228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Hybrid</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40</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49</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61</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sidRPr="00696C91">
              <w:rPr>
                <w:rFonts w:ascii="Calibri" w:eastAsia="Calibri" w:hAnsi="Calibri" w:cs="Calibri"/>
                <w:b/>
                <w:color w:val="000000"/>
                <w:sz w:val="22"/>
                <w:szCs w:val="22"/>
              </w:rPr>
              <w:t>67</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66</w:t>
            </w:r>
          </w:p>
        </w:tc>
        <w:tc>
          <w:tcPr>
            <w:tcW w:w="1300" w:type="dxa"/>
            <w:tcBorders>
              <w:top w:val="single" w:sz="4" w:space="0" w:color="auto"/>
              <w:left w:val="none" w:sz="0" w:space="0" w:color="FFFFFF"/>
              <w:bottom w:val="single" w:sz="4" w:space="0" w:color="auto"/>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63</w:t>
            </w:r>
          </w:p>
        </w:tc>
      </w:tr>
      <w:tr w:rsidR="00F06519">
        <w:tc>
          <w:tcPr>
            <w:tcW w:w="228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r>
              <w:rPr>
                <w:rFonts w:ascii="Calibri" w:eastAsia="Calibri" w:hAnsi="Calibri" w:cs="Calibri"/>
                <w:color w:val="000000"/>
                <w:sz w:val="19"/>
                <w:szCs w:val="19"/>
              </w:rPr>
              <w:t>Plug-in Hybrid</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5</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sidRPr="00696C91">
              <w:rPr>
                <w:rFonts w:ascii="Calibri" w:eastAsia="Calibri" w:hAnsi="Calibri" w:cs="Calibri"/>
                <w:b/>
                <w:color w:val="000000"/>
                <w:sz w:val="22"/>
                <w:szCs w:val="22"/>
              </w:rPr>
              <w:t>9</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5</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5</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3</w:t>
            </w:r>
          </w:p>
        </w:tc>
        <w:tc>
          <w:tcPr>
            <w:tcW w:w="1300" w:type="dxa"/>
            <w:tcBorders>
              <w:top w:val="single" w:sz="4" w:space="0" w:color="auto"/>
              <w:left w:val="none" w:sz="0" w:space="0" w:color="FFFFFF"/>
              <w:bottom w:val="single" w:sz="8" w:space="0" w:color="000000"/>
              <w:right w:val="none" w:sz="0" w:space="0" w:color="FFFFFF"/>
            </w:tcBorders>
            <w:tcMar>
              <w:top w:w="80" w:type="dxa"/>
              <w:left w:w="120" w:type="dxa"/>
              <w:bottom w:w="80" w:type="dxa"/>
              <w:right w:w="120" w:type="dxa"/>
            </w:tcMar>
            <w:vAlign w:val="center"/>
          </w:tcPr>
          <w:p w:rsidR="00F06519" w:rsidRDefault="00966103">
            <w:pPr>
              <w:jc w:val="center"/>
            </w:pPr>
            <w:r>
              <w:rPr>
                <w:rFonts w:ascii="Calibri" w:eastAsia="Calibri" w:hAnsi="Calibri" w:cs="Calibri"/>
                <w:color w:val="000000"/>
                <w:sz w:val="19"/>
                <w:szCs w:val="19"/>
              </w:rPr>
              <w:t>7</w:t>
            </w:r>
          </w:p>
        </w:tc>
      </w:tr>
    </w:tbl>
    <w:p w:rsidR="00F06519" w:rsidRDefault="00F06519">
      <w:pPr>
        <w:spacing w:after="160"/>
      </w:pPr>
    </w:p>
    <w:p w:rsidR="009D6F55" w:rsidRDefault="009D6F55" w:rsidP="009D6F55">
      <w:pPr>
        <w:spacing w:after="160"/>
      </w:pPr>
      <w:r>
        <w:rPr>
          <w:rFonts w:ascii="Calibri" w:eastAsia="Calibri" w:hAnsi="Calibri" w:cs="Calibri"/>
          <w:color w:val="000000"/>
          <w:sz w:val="21"/>
          <w:szCs w:val="21"/>
        </w:rPr>
        <w:t>Gasoline's high realization rate appears to reflect its advantages: the widest range of models and trims, the lowest upfront cost, and no charging-related stress. Even so, both gasoline's purchase intention and its realization rate have been on a downward trend since peaking in 2022.</w:t>
      </w:r>
    </w:p>
    <w:p w:rsidR="00696C91" w:rsidRDefault="009D6F55" w:rsidP="009D6F55">
      <w:pPr>
        <w:spacing w:after="160"/>
        <w:rPr>
          <w:rFonts w:ascii="Calibri" w:eastAsia="Calibri" w:hAnsi="Calibri" w:cs="Calibri"/>
          <w:color w:val="000000"/>
          <w:sz w:val="21"/>
          <w:szCs w:val="21"/>
        </w:rPr>
      </w:pPr>
      <w:r>
        <w:rPr>
          <w:rFonts w:ascii="Calibri" w:eastAsia="Calibri" w:hAnsi="Calibri" w:cs="Calibri"/>
          <w:color w:val="000000"/>
          <w:sz w:val="21"/>
          <w:szCs w:val="21"/>
        </w:rPr>
        <w:t>It is somewhat paradoxical that hybrid — now the mainstream fuel type — posted a realization rate well below both EV and gasoline. Its outsized popularity likely triggered supply shortages, which in turn drove long delivery waits and price increases that pushed some buyers elsewhere. Plug-in hybrids, meanwhile, saw purchase intention rise even as realization remained in the single digits, reflecting a severe supply constraint with few purchasable models.</w:t>
      </w:r>
    </w:p>
    <w:p w:rsidR="00F06519" w:rsidRDefault="00966103">
      <w:pPr>
        <w:pBdr>
          <w:bottom w:val="single" w:sz="4" w:space="4" w:color="1F4E79"/>
        </w:pBdr>
        <w:spacing w:before="300" w:after="160"/>
      </w:pPr>
      <w:bookmarkStart w:id="0" w:name="_GoBack"/>
      <w:bookmarkEnd w:id="0"/>
      <w:r>
        <w:rPr>
          <w:rFonts w:ascii="Calibri" w:eastAsia="Calibri" w:hAnsi="Calibri" w:cs="Calibri"/>
          <w:b/>
          <w:bCs/>
          <w:color w:val="1F4E79"/>
          <w:sz w:val="26"/>
          <w:szCs w:val="26"/>
        </w:rPr>
        <w:t>EVs Show a Split Between Strong Support and Strong Avoidance</w:t>
      </w:r>
    </w:p>
    <w:p w:rsidR="00F06519" w:rsidRDefault="00966103">
      <w:pPr>
        <w:spacing w:after="160"/>
      </w:pPr>
      <w:r>
        <w:rPr>
          <w:rFonts w:ascii="Calibri" w:eastAsia="Calibri" w:hAnsi="Calibri" w:cs="Calibri"/>
          <w:color w:val="000000"/>
          <w:sz w:val="21"/>
          <w:szCs w:val="21"/>
        </w:rPr>
        <w:t>Among all 43,501 respondents in the 2025 survey who intended to buy a car, 15% named EV as their preferred fuel type, up 3 percentage points from the previous year — the only fuel type to post a gain. With domestic EV sales up 53% year-on-year in 2025 and the realization rate poised to overtake gasoline outright this year, multiple indicators point to a genuine exit from the EV chasm that began in 2022.</w:t>
      </w:r>
    </w:p>
    <w:p w:rsidR="00F06519" w:rsidRDefault="00966103">
      <w:pPr>
        <w:spacing w:after="160"/>
      </w:pPr>
      <w:r>
        <w:rPr>
          <w:rFonts w:ascii="Calibri" w:eastAsia="Calibri" w:hAnsi="Calibri" w:cs="Calibri"/>
          <w:color w:val="000000"/>
          <w:sz w:val="21"/>
          <w:szCs w:val="21"/>
        </w:rPr>
        <w:t>EVs also benefit from a distinctly loyal core of genuine buyers. Yet the fact that EV's share of actual purchases remained in the single digits among intenders of every other fuel type shows EVs have yet to break out of what might be called a 'closed league.' How the industry brings together these two starkly divided camps — strong supporters and strong avoiders — will likely determine the pace of vehicle electrification going forward.</w:t>
      </w:r>
    </w:p>
    <w:p w:rsidR="00F06519" w:rsidRDefault="00966103">
      <w:pPr>
        <w:pBdr>
          <w:bottom w:val="single" w:sz="4" w:space="4" w:color="1F4E79"/>
        </w:pBdr>
        <w:spacing w:before="300" w:after="160"/>
      </w:pPr>
      <w:r>
        <w:rPr>
          <w:rFonts w:ascii="Calibri" w:eastAsia="Calibri" w:hAnsi="Calibri" w:cs="Calibri"/>
          <w:b/>
          <w:bCs/>
          <w:color w:val="1F4E79"/>
          <w:sz w:val="26"/>
          <w:szCs w:val="26"/>
        </w:rPr>
        <w:t>Notes</w:t>
      </w:r>
    </w:p>
    <w:p w:rsidR="00F06519" w:rsidRDefault="00966103" w:rsidP="00670970">
      <w:pPr>
        <w:pStyle w:val="a4"/>
        <w:spacing w:after="90"/>
      </w:pPr>
      <w:r>
        <w:rPr>
          <w:rFonts w:ascii="Calibri" w:eastAsia="Calibri" w:hAnsi="Calibri" w:cs="Calibri"/>
          <w:color w:val="000000"/>
          <w:sz w:val="21"/>
          <w:szCs w:val="21"/>
        </w:rPr>
        <w:t>Analysis base: This analysis is based on 1,127 respondents — drawn from 31,852 continuous participants in ConsumerInsight's 2024-2025 Annual Automobile Syndicated Study — who stated in 2024 that they planned to buy a new car within one year and completed that purchase. (ConsumerInsight 2024-2025 Annual Automobile Syndicated Study)</w:t>
      </w:r>
    </w:p>
    <w:p w:rsidR="00F06519" w:rsidRDefault="00966103" w:rsidP="00670970">
      <w:pPr>
        <w:pStyle w:val="a4"/>
        <w:spacing w:after="90"/>
      </w:pPr>
      <w:r>
        <w:rPr>
          <w:rFonts w:ascii="Calibri" w:eastAsia="Calibri" w:hAnsi="Calibri" w:cs="Calibri"/>
          <w:color w:val="000000"/>
          <w:sz w:val="21"/>
          <w:szCs w:val="21"/>
        </w:rPr>
        <w:t>Metric definition: 'Purchase realization rate' means the share of buyers who purchased a car of the same fuel type they originally intended. (ConsumerInsight definition)</w:t>
      </w:r>
    </w:p>
    <w:p w:rsidR="00F06519" w:rsidRDefault="00966103" w:rsidP="00670970">
      <w:pPr>
        <w:pStyle w:val="a4"/>
        <w:spacing w:after="90"/>
      </w:pPr>
      <w:r>
        <w:rPr>
          <w:rFonts w:ascii="Calibri" w:eastAsia="Calibri" w:hAnsi="Calibri" w:cs="Calibri"/>
          <w:color w:val="000000"/>
          <w:sz w:val="21"/>
          <w:szCs w:val="21"/>
        </w:rPr>
        <w:lastRenderedPageBreak/>
        <w:t>Sample criteria: LPG and hydrogen (FCEV) intenders were excluded from Table 1 due to insufficient sample size. Actual-fuel-type shares below 1.0% are shown as en dashes (–) in Table 1. (ConsumerInsight report terminology)</w:t>
      </w:r>
    </w:p>
    <w:p w:rsidR="00F06519" w:rsidRDefault="00966103" w:rsidP="00670970">
      <w:pPr>
        <w:pStyle w:val="a4"/>
        <w:spacing w:after="90"/>
      </w:pPr>
      <w:r>
        <w:rPr>
          <w:rFonts w:ascii="Calibri" w:eastAsia="Calibri" w:hAnsi="Calibri" w:cs="Calibri"/>
          <w:color w:val="000000"/>
          <w:sz w:val="21"/>
          <w:szCs w:val="21"/>
        </w:rPr>
        <w:t>Trend base: Tables 2 and 3 reflect year-specific continuous-respondent samples from ConsumerInsight's Annual Automobile Syndicated Study for 2019-2024 (purchase intention) and 2020-2025 (purchase realization), and are not limited to the 1,127-respondent base used in Table 1. (ConsumerInsight report terminology)</w:t>
      </w:r>
    </w:p>
    <w:p w:rsidR="00F06519" w:rsidRDefault="00966103" w:rsidP="00670970">
      <w:pPr>
        <w:pStyle w:val="a4"/>
        <w:spacing w:after="90"/>
      </w:pPr>
      <w:r>
        <w:rPr>
          <w:rFonts w:ascii="Calibri" w:eastAsia="Calibri" w:hAnsi="Calibri" w:cs="Calibri"/>
          <w:color w:val="000000"/>
          <w:sz w:val="21"/>
          <w:szCs w:val="21"/>
        </w:rPr>
        <w:t>Sales figures: Domestic EV sales figures cited for 2024 and 2025 are drawn from the Korean Ministry of Land, Infrastructure and Transport's vehicle registration statistics.</w:t>
      </w:r>
    </w:p>
    <w:p w:rsidR="00F06519" w:rsidRDefault="00966103">
      <w:pPr>
        <w:pBdr>
          <w:bottom w:val="single" w:sz="4" w:space="4" w:color="1F4E79"/>
        </w:pBdr>
        <w:spacing w:before="300" w:after="160"/>
      </w:pPr>
      <w:r>
        <w:rPr>
          <w:rFonts w:ascii="Calibri" w:eastAsia="Calibri" w:hAnsi="Calibri" w:cs="Calibri"/>
          <w:b/>
          <w:bCs/>
          <w:color w:val="1F4E79"/>
          <w:sz w:val="26"/>
          <w:szCs w:val="26"/>
        </w:rPr>
        <w:t>Methodology</w:t>
      </w:r>
    </w:p>
    <w:p w:rsidR="00F06519" w:rsidRDefault="00966103">
      <w:pPr>
        <w:spacing w:after="160"/>
      </w:pPr>
      <w:r>
        <w:rPr>
          <w:rFonts w:ascii="Calibri" w:eastAsia="Calibri" w:hAnsi="Calibri" w:cs="Calibri"/>
          <w:color w:val="000000"/>
          <w:sz w:val="21"/>
          <w:szCs w:val="21"/>
        </w:rPr>
        <w:t>ConsumerInsight analyzed automobile purchase realization rates by fuel type, comparing the fuel type each respondent intended to buy with the fuel type actually purchased one year later. The broader Annual Automobile Syndicated Study has been conducted every July since 2001 among approximately 100,000 automotive consumers. This report's fuel-type realization comparison (Table 1) matched 31,852 respondents who participated continuously in the 2024-2025 survey, narrowed to 1,127 who planned a purchase within one year and completed it. The six-year trend comparisons (Tables 2 and 3) draw on continuous-respondent samples for each corresponding year pair from the 2019-2025 surveys.</w:t>
      </w:r>
    </w:p>
    <w:p w:rsidR="00F06519" w:rsidRDefault="00966103">
      <w:pPr>
        <w:pStyle w:val="a4"/>
        <w:numPr>
          <w:ilvl w:val="0"/>
          <w:numId w:val="2"/>
        </w:numPr>
        <w:spacing w:after="90"/>
      </w:pPr>
      <w:r>
        <w:rPr>
          <w:rFonts w:ascii="Calibri" w:eastAsia="Calibri" w:hAnsi="Calibri" w:cs="Calibri"/>
          <w:color w:val="000000"/>
          <w:sz w:val="21"/>
          <w:szCs w:val="21"/>
        </w:rPr>
        <w:t>Population: Licensed drivers who own a vehicle or plan to purchase one within one year</w:t>
      </w:r>
    </w:p>
    <w:p w:rsidR="00F06519" w:rsidRDefault="00966103">
      <w:pPr>
        <w:pStyle w:val="a4"/>
        <w:numPr>
          <w:ilvl w:val="0"/>
          <w:numId w:val="2"/>
        </w:numPr>
        <w:spacing w:after="90"/>
      </w:pPr>
      <w:r>
        <w:rPr>
          <w:rFonts w:ascii="Calibri" w:eastAsia="Calibri" w:hAnsi="Calibri" w:cs="Calibri"/>
          <w:color w:val="000000"/>
          <w:sz w:val="21"/>
          <w:szCs w:val="21"/>
        </w:rPr>
        <w:t>Sampling frame: ConsumerInsight's Invight Panel and quota-based samples from major Korean portal-site panels</w:t>
      </w:r>
    </w:p>
    <w:p w:rsidR="00F06519" w:rsidRDefault="00966103">
      <w:pPr>
        <w:pStyle w:val="a4"/>
        <w:numPr>
          <w:ilvl w:val="0"/>
          <w:numId w:val="2"/>
        </w:numPr>
        <w:spacing w:after="90"/>
      </w:pPr>
      <w:r>
        <w:rPr>
          <w:rFonts w:ascii="Calibri" w:eastAsia="Calibri" w:hAnsi="Calibri" w:cs="Calibri"/>
          <w:color w:val="000000"/>
          <w:sz w:val="21"/>
          <w:szCs w:val="21"/>
        </w:rPr>
        <w:t>Sampling method: Gender- and age-based quota sampling</w:t>
      </w:r>
    </w:p>
    <w:p w:rsidR="00F06519" w:rsidRDefault="00966103">
      <w:pPr>
        <w:pStyle w:val="a4"/>
        <w:numPr>
          <w:ilvl w:val="0"/>
          <w:numId w:val="2"/>
        </w:numPr>
        <w:spacing w:after="90"/>
      </w:pPr>
      <w:r>
        <w:rPr>
          <w:rFonts w:ascii="Calibri" w:eastAsia="Calibri" w:hAnsi="Calibri" w:cs="Calibri"/>
          <w:color w:val="000000"/>
          <w:sz w:val="21"/>
          <w:szCs w:val="21"/>
        </w:rPr>
        <w:t>Survey mode: Email and mobile survey</w:t>
      </w:r>
    </w:p>
    <w:p w:rsidR="00F06519" w:rsidRDefault="00966103">
      <w:pPr>
        <w:pStyle w:val="a4"/>
        <w:numPr>
          <w:ilvl w:val="0"/>
          <w:numId w:val="2"/>
        </w:numPr>
        <w:spacing w:after="90"/>
      </w:pPr>
      <w:r>
        <w:rPr>
          <w:rFonts w:ascii="Calibri" w:eastAsia="Calibri" w:hAnsi="Calibri" w:cs="Calibri"/>
          <w:color w:val="000000"/>
          <w:sz w:val="21"/>
          <w:szCs w:val="21"/>
        </w:rPr>
        <w:t>Survey content: Usage &amp; Attitude (U&amp;A) and Consumer Experienced Quality (CEQ)</w:t>
      </w:r>
    </w:p>
    <w:p w:rsidR="00F06519" w:rsidRDefault="00966103">
      <w:pPr>
        <w:pStyle w:val="a4"/>
        <w:numPr>
          <w:ilvl w:val="0"/>
          <w:numId w:val="2"/>
        </w:numPr>
        <w:spacing w:after="90"/>
      </w:pPr>
      <w:r>
        <w:rPr>
          <w:rFonts w:ascii="Calibri" w:eastAsia="Calibri" w:hAnsi="Calibri" w:cs="Calibri"/>
          <w:color w:val="000000"/>
          <w:sz w:val="21"/>
          <w:szCs w:val="21"/>
        </w:rPr>
        <w:t>Survey period: July 2019 through July 2025</w:t>
      </w:r>
    </w:p>
    <w:p w:rsidR="00F06519" w:rsidRDefault="00966103">
      <w:pPr>
        <w:pBdr>
          <w:bottom w:val="single" w:sz="4" w:space="4" w:color="1F4E79"/>
        </w:pBdr>
        <w:spacing w:before="300" w:after="160"/>
      </w:pPr>
      <w:r>
        <w:rPr>
          <w:rFonts w:ascii="Calibri" w:eastAsia="Calibri" w:hAnsi="Calibri" w:cs="Calibri"/>
          <w:b/>
          <w:bCs/>
          <w:color w:val="1F4E79"/>
          <w:sz w:val="26"/>
          <w:szCs w:val="26"/>
        </w:rPr>
        <w:t>About ConsumerInsight</w:t>
      </w:r>
    </w:p>
    <w:p w:rsidR="00F06519" w:rsidRDefault="00966103">
      <w:pPr>
        <w:spacing w:after="160"/>
      </w:pPr>
      <w:r>
        <w:rPr>
          <w:rFonts w:ascii="Calibri" w:eastAsia="Calibri" w:hAnsi="Calibri" w:cs="Calibri"/>
          <w:color w:val="000000"/>
          <w:sz w:val="21"/>
          <w:szCs w:val="21"/>
        </w:rPr>
        <w:t>ConsumerInsight is a leading South Korean market research firm specializing in automotive consumer data and analytics. Since 2001, it has conducted the Annual Automobile Syndicated Study, surveying approximately 100,000 automotive consumers every July — one of the largest continuous automotive consumer studies in the world. Drawing on more than two decades of longitudinal data, ConsumerInsight provides in-depth insight into consumer behavior, market trends, and industry benchmarks.</w:t>
      </w:r>
    </w:p>
    <w:p w:rsidR="00F06519" w:rsidRDefault="00966103">
      <w:pPr>
        <w:pBdr>
          <w:top w:val="single" w:sz="6" w:space="4" w:color="BFBFBF"/>
        </w:pBdr>
        <w:spacing w:before="200"/>
      </w:pPr>
      <w:r>
        <w:rPr>
          <w:rFonts w:ascii="Calibri" w:eastAsia="Calibri" w:hAnsi="Calibri" w:cs="Calibri"/>
          <w:color w:val="000000"/>
          <w:sz w:val="21"/>
          <w:szCs w:val="21"/>
        </w:rPr>
        <w:t xml:space="preserve">For more information, please visit </w:t>
      </w:r>
      <w:hyperlink r:id="rId7" w:history="1">
        <w:r>
          <w:rPr>
            <w:rFonts w:ascii="Calibri" w:eastAsia="Calibri" w:hAnsi="Calibri" w:cs="Calibri"/>
            <w:color w:val="0563C1"/>
            <w:sz w:val="21"/>
            <w:szCs w:val="21"/>
            <w:u w:val="single"/>
          </w:rPr>
          <w:t>https://www.consumerinsight.co.kr/eng/</w:t>
        </w:r>
      </w:hyperlink>
    </w:p>
    <w:p w:rsidR="00F06519" w:rsidRDefault="00966103">
      <w:pPr>
        <w:spacing w:before="200"/>
        <w:jc w:val="center"/>
      </w:pPr>
      <w:r>
        <w:rPr>
          <w:rFonts w:ascii="Calibri" w:eastAsia="Calibri" w:hAnsi="Calibri" w:cs="Calibri"/>
          <w:i/>
          <w:iCs/>
          <w:color w:val="595959"/>
          <w:sz w:val="18"/>
          <w:szCs w:val="18"/>
        </w:rPr>
        <w:t>Copyright © ConsumerInsight. All rights reserved.</w:t>
      </w:r>
    </w:p>
    <w:p w:rsidR="00F06519" w:rsidRDefault="00966103">
      <w:pPr>
        <w:jc w:val="center"/>
      </w:pPr>
      <w:r>
        <w:rPr>
          <w:rFonts w:ascii="Calibri" w:eastAsia="Calibri" w:hAnsi="Calibri" w:cs="Calibri"/>
          <w:i/>
          <w:iCs/>
          <w:color w:val="595959"/>
          <w:sz w:val="18"/>
          <w:szCs w:val="18"/>
        </w:rPr>
        <w:t>This material may be quoted or cited by media for news purposes. Any other form of reproduction, distribution, or secondary use requires prior written consent.</w:t>
      </w:r>
    </w:p>
    <w:sectPr w:rsidR="00F06519">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1F66" w:rsidRDefault="00321F66">
      <w:r>
        <w:separator/>
      </w:r>
    </w:p>
  </w:endnote>
  <w:endnote w:type="continuationSeparator" w:id="0">
    <w:p w:rsidR="00321F66" w:rsidRDefault="00321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519" w:rsidRDefault="00966103">
    <w:pPr>
      <w:jc w:val="center"/>
    </w:pPr>
    <w:r>
      <w:rPr>
        <w:rFonts w:ascii="Calibri" w:eastAsia="Calibri" w:hAnsi="Calibri" w:cs="Calibri"/>
        <w:color w:val="808080"/>
        <w:sz w:val="17"/>
        <w:szCs w:val="17"/>
      </w:rPr>
      <w:t xml:space="preserve">Page </w:t>
    </w:r>
    <w:r>
      <w:rPr>
        <w:rFonts w:ascii="Calibri" w:eastAsia="Calibri" w:hAnsi="Calibri" w:cs="Calibri"/>
        <w:color w:val="808080"/>
        <w:sz w:val="17"/>
        <w:szCs w:val="17"/>
      </w:rPr>
      <w:fldChar w:fldCharType="begin"/>
    </w:r>
    <w:r>
      <w:rPr>
        <w:rFonts w:ascii="Calibri" w:eastAsia="Calibri" w:hAnsi="Calibri" w:cs="Calibri"/>
        <w:color w:val="808080"/>
        <w:sz w:val="17"/>
        <w:szCs w:val="17"/>
      </w:rPr>
      <w:instrText>PAGE</w:instrText>
    </w:r>
    <w:r>
      <w:rPr>
        <w:rFonts w:ascii="Calibri" w:eastAsia="Calibri" w:hAnsi="Calibri" w:cs="Calibri"/>
        <w:color w:val="808080"/>
        <w:sz w:val="17"/>
        <w:szCs w:val="17"/>
      </w:rPr>
      <w:fldChar w:fldCharType="separate"/>
    </w:r>
    <w:r w:rsidR="00BF452B">
      <w:rPr>
        <w:rFonts w:ascii="Calibri" w:eastAsia="Calibri" w:hAnsi="Calibri" w:cs="Calibri"/>
        <w:noProof/>
        <w:color w:val="808080"/>
        <w:sz w:val="17"/>
        <w:szCs w:val="17"/>
      </w:rPr>
      <w:t>1</w:t>
    </w:r>
    <w:r>
      <w:rPr>
        <w:rFonts w:ascii="Calibri" w:eastAsia="Calibri" w:hAnsi="Calibri" w:cs="Calibri"/>
        <w:color w:val="808080"/>
        <w:sz w:val="17"/>
        <w:szCs w:val="17"/>
      </w:rPr>
      <w:fldChar w:fldCharType="end"/>
    </w:r>
    <w:r>
      <w:rPr>
        <w:rFonts w:ascii="Calibri" w:eastAsia="Calibri" w:hAnsi="Calibri" w:cs="Calibri"/>
        <w:color w:val="808080"/>
        <w:sz w:val="17"/>
        <w:szCs w:val="17"/>
      </w:rPr>
      <w:t xml:space="preserve"> of </w:t>
    </w:r>
    <w:r>
      <w:rPr>
        <w:rFonts w:ascii="Calibri" w:eastAsia="Calibri" w:hAnsi="Calibri" w:cs="Calibri"/>
        <w:color w:val="808080"/>
        <w:sz w:val="17"/>
        <w:szCs w:val="17"/>
      </w:rPr>
      <w:fldChar w:fldCharType="begin"/>
    </w:r>
    <w:r>
      <w:rPr>
        <w:rFonts w:ascii="Calibri" w:eastAsia="Calibri" w:hAnsi="Calibri" w:cs="Calibri"/>
        <w:color w:val="808080"/>
        <w:sz w:val="17"/>
        <w:szCs w:val="17"/>
      </w:rPr>
      <w:instrText>NUMPAGES</w:instrText>
    </w:r>
    <w:r>
      <w:rPr>
        <w:rFonts w:ascii="Calibri" w:eastAsia="Calibri" w:hAnsi="Calibri" w:cs="Calibri"/>
        <w:color w:val="808080"/>
        <w:sz w:val="17"/>
        <w:szCs w:val="17"/>
      </w:rPr>
      <w:fldChar w:fldCharType="separate"/>
    </w:r>
    <w:r w:rsidR="00BF452B">
      <w:rPr>
        <w:rFonts w:ascii="Calibri" w:eastAsia="Calibri" w:hAnsi="Calibri" w:cs="Calibri"/>
        <w:noProof/>
        <w:color w:val="808080"/>
        <w:sz w:val="17"/>
        <w:szCs w:val="17"/>
      </w:rPr>
      <w:t>1</w:t>
    </w:r>
    <w:r>
      <w:rPr>
        <w:rFonts w:ascii="Calibri" w:eastAsia="Calibri" w:hAnsi="Calibri" w:cs="Calibri"/>
        <w:color w:val="80808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1F66" w:rsidRDefault="00321F66">
      <w:r>
        <w:separator/>
      </w:r>
    </w:p>
  </w:footnote>
  <w:footnote w:type="continuationSeparator" w:id="0">
    <w:p w:rsidR="00321F66" w:rsidRDefault="00321F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17EFA"/>
    <w:multiLevelType w:val="hybridMultilevel"/>
    <w:tmpl w:val="4170C5E8"/>
    <w:lvl w:ilvl="0" w:tplc="D48A6500">
      <w:start w:val="1"/>
      <w:numFmt w:val="bullet"/>
      <w:lvlText w:val="●"/>
      <w:lvlJc w:val="left"/>
      <w:pPr>
        <w:ind w:left="720" w:hanging="360"/>
      </w:pPr>
    </w:lvl>
    <w:lvl w:ilvl="1" w:tplc="1DA6C508">
      <w:start w:val="1"/>
      <w:numFmt w:val="bullet"/>
      <w:lvlText w:val="○"/>
      <w:lvlJc w:val="left"/>
      <w:pPr>
        <w:ind w:left="1440" w:hanging="360"/>
      </w:pPr>
    </w:lvl>
    <w:lvl w:ilvl="2" w:tplc="7FA69676">
      <w:start w:val="1"/>
      <w:numFmt w:val="bullet"/>
      <w:lvlText w:val="■"/>
      <w:lvlJc w:val="left"/>
      <w:pPr>
        <w:ind w:left="2160" w:hanging="360"/>
      </w:pPr>
    </w:lvl>
    <w:lvl w:ilvl="3" w:tplc="C44AC1AE">
      <w:start w:val="1"/>
      <w:numFmt w:val="bullet"/>
      <w:lvlText w:val="●"/>
      <w:lvlJc w:val="left"/>
      <w:pPr>
        <w:ind w:left="2880" w:hanging="360"/>
      </w:pPr>
    </w:lvl>
    <w:lvl w:ilvl="4" w:tplc="A45CCD0A">
      <w:start w:val="1"/>
      <w:numFmt w:val="bullet"/>
      <w:lvlText w:val="○"/>
      <w:lvlJc w:val="left"/>
      <w:pPr>
        <w:ind w:left="3600" w:hanging="360"/>
      </w:pPr>
    </w:lvl>
    <w:lvl w:ilvl="5" w:tplc="A8A438B4">
      <w:start w:val="1"/>
      <w:numFmt w:val="bullet"/>
      <w:lvlText w:val="■"/>
      <w:lvlJc w:val="left"/>
      <w:pPr>
        <w:ind w:left="4320" w:hanging="360"/>
      </w:pPr>
    </w:lvl>
    <w:lvl w:ilvl="6" w:tplc="C0343E90">
      <w:start w:val="1"/>
      <w:numFmt w:val="bullet"/>
      <w:lvlText w:val="●"/>
      <w:lvlJc w:val="left"/>
      <w:pPr>
        <w:ind w:left="5040" w:hanging="360"/>
      </w:pPr>
    </w:lvl>
    <w:lvl w:ilvl="7" w:tplc="701A0358">
      <w:start w:val="1"/>
      <w:numFmt w:val="bullet"/>
      <w:lvlText w:val="●"/>
      <w:lvlJc w:val="left"/>
      <w:pPr>
        <w:ind w:left="5760" w:hanging="360"/>
      </w:pPr>
    </w:lvl>
    <w:lvl w:ilvl="8" w:tplc="8468041A">
      <w:start w:val="1"/>
      <w:numFmt w:val="bullet"/>
      <w:lvlText w:val="●"/>
      <w:lvlJc w:val="left"/>
      <w:pPr>
        <w:ind w:left="6480" w:hanging="360"/>
      </w:pPr>
    </w:lvl>
  </w:abstractNum>
  <w:abstractNum w:abstractNumId="1" w15:restartNumberingAfterBreak="0">
    <w:nsid w:val="5AB50807"/>
    <w:multiLevelType w:val="hybridMultilevel"/>
    <w:tmpl w:val="6B0AC75C"/>
    <w:lvl w:ilvl="0" w:tplc="C9E61638">
      <w:start w:val="1"/>
      <w:numFmt w:val="bullet"/>
      <w:lvlText w:val="•"/>
      <w:lvlJc w:val="left"/>
      <w:pPr>
        <w:ind w:left="360" w:hanging="260"/>
      </w:pPr>
    </w:lvl>
    <w:lvl w:ilvl="1" w:tplc="B4DC0FC8">
      <w:numFmt w:val="decimal"/>
      <w:lvlText w:val=""/>
      <w:lvlJc w:val="left"/>
    </w:lvl>
    <w:lvl w:ilvl="2" w:tplc="D884EBC2">
      <w:numFmt w:val="decimal"/>
      <w:lvlText w:val=""/>
      <w:lvlJc w:val="left"/>
    </w:lvl>
    <w:lvl w:ilvl="3" w:tplc="217843D8">
      <w:numFmt w:val="decimal"/>
      <w:lvlText w:val=""/>
      <w:lvlJc w:val="left"/>
    </w:lvl>
    <w:lvl w:ilvl="4" w:tplc="314235C6">
      <w:numFmt w:val="decimal"/>
      <w:lvlText w:val=""/>
      <w:lvlJc w:val="left"/>
    </w:lvl>
    <w:lvl w:ilvl="5" w:tplc="636A6CB6">
      <w:numFmt w:val="decimal"/>
      <w:lvlText w:val=""/>
      <w:lvlJc w:val="left"/>
    </w:lvl>
    <w:lvl w:ilvl="6" w:tplc="15827EAC">
      <w:numFmt w:val="decimal"/>
      <w:lvlText w:val=""/>
      <w:lvlJc w:val="left"/>
    </w:lvl>
    <w:lvl w:ilvl="7" w:tplc="061CD70C">
      <w:numFmt w:val="decimal"/>
      <w:lvlText w:val=""/>
      <w:lvlJc w:val="left"/>
    </w:lvl>
    <w:lvl w:ilvl="8" w:tplc="90C681F0">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80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519"/>
    <w:rsid w:val="000A2FA7"/>
    <w:rsid w:val="00321F66"/>
    <w:rsid w:val="005B119F"/>
    <w:rsid w:val="00670970"/>
    <w:rsid w:val="00696C91"/>
    <w:rsid w:val="006A773B"/>
    <w:rsid w:val="00966103"/>
    <w:rsid w:val="009D6F55"/>
    <w:rsid w:val="00BF452B"/>
    <w:rsid w:val="00BF591B"/>
    <w:rsid w:val="00F065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56404C-CDE8-45C6-A50F-004C6657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BF591B"/>
    <w:pPr>
      <w:tabs>
        <w:tab w:val="center" w:pos="4513"/>
        <w:tab w:val="right" w:pos="9026"/>
      </w:tabs>
      <w:snapToGrid w:val="0"/>
    </w:pPr>
  </w:style>
  <w:style w:type="character" w:customStyle="1" w:styleId="Char1">
    <w:name w:val="머리글 Char"/>
    <w:basedOn w:val="a0"/>
    <w:link w:val="aa"/>
    <w:uiPriority w:val="99"/>
    <w:rsid w:val="00BF591B"/>
  </w:style>
  <w:style w:type="paragraph" w:styleId="ab">
    <w:name w:val="footer"/>
    <w:basedOn w:val="a"/>
    <w:link w:val="Char2"/>
    <w:uiPriority w:val="99"/>
    <w:unhideWhenUsed/>
    <w:rsid w:val="00BF591B"/>
    <w:pPr>
      <w:tabs>
        <w:tab w:val="center" w:pos="4513"/>
        <w:tab w:val="right" w:pos="9026"/>
      </w:tabs>
      <w:snapToGrid w:val="0"/>
    </w:pPr>
  </w:style>
  <w:style w:type="character" w:customStyle="1" w:styleId="Char2">
    <w:name w:val="바닥글 Char"/>
    <w:basedOn w:val="a0"/>
    <w:link w:val="ab"/>
    <w:uiPriority w:val="99"/>
    <w:rsid w:val="00BF5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257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onsumerinsight.co.kr/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1642</Words>
  <Characters>9363</Characters>
  <Application>Microsoft Office Word</Application>
  <DocSecurity>0</DocSecurity>
  <Lines>78</Lines>
  <Paragraphs>21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chowk</cp:lastModifiedBy>
  <cp:revision>4</cp:revision>
  <dcterms:created xsi:type="dcterms:W3CDTF">2026-07-06T08:26:00Z</dcterms:created>
  <dcterms:modified xsi:type="dcterms:W3CDTF">2026-07-09T07:24:00Z</dcterms:modified>
</cp:coreProperties>
</file>